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1012a37464be1" /></Relationships>
</file>

<file path=word/document.xml><?xml version="1.0" encoding="utf-8"?>
<w:document xmlns:w="http://schemas.openxmlformats.org/wordprocessingml/2006/main">
  <w:body>
    <w:p>
      <w:r>
        <w:t>S-0300.3</w:t>
      </w:r>
    </w:p>
    <w:p>
      <w:pPr>
        <w:jc w:val="center"/>
      </w:pPr>
      <w:r>
        <w:t>_______________________________________________</w:t>
      </w:r>
    </w:p>
    <w:p/>
    <w:p>
      <w:pPr>
        <w:jc w:val="center"/>
      </w:pPr>
      <w:r>
        <w:rPr>
          <w:b/>
        </w:rPr>
        <w:t>SENATE BILL 5284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and Rivers</w:t>
      </w:r>
    </w:p>
    <w:p/>
    <w:p>
      <w:r>
        <w:rPr>
          <w:t xml:space="preserve">Read first time 01/19/17.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oversight and regulation of marijuana; amending RCW 69.50.325, 69.50.331, 69.50.339, 69.50.348, 69.50.351, 69.50.357, 69.50.363, 69.50.366, 69.50.369, 69.50.372, 69.50.500, 69.50.580, 66.08.100, and 9.94A.832; adding a new section to chapter 69.50 RCW;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w:t>
      </w:r>
      <w:r>
        <w:t>((</w:t>
      </w:r>
      <w:r>
        <w:rPr>
          <w:strike/>
        </w:rPr>
        <w:t xml:space="preserve">, package, and label</w:t>
      </w:r>
      <w:r>
        <w:t>))</w:t>
      </w:r>
      <w:r>
        <w:rPr/>
        <w:t xml:space="preserve"> marijuana concentrates, useable marijuana, and marijuana-infused products for sale at wholesale to marijuana processors and </w:t>
      </w:r>
      <w:r>
        <w:rPr>
          <w:u w:val="single"/>
        </w:rPr>
        <w:t xml:space="preserve">process, package, and label marijuana concentrates, useable marijuana, and marijuana-infused products for wholesale to</w:t>
      </w:r>
      <w:r>
        <w:rPr/>
        <w:t xml:space="preserve">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 </w:t>
      </w:r>
      <w:r>
        <w:t>((</w:t>
      </w:r>
      <w:r>
        <w:rPr>
          <w:strike/>
        </w:rPr>
        <w:t xml:space="preserve">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More than fifty percent of the interest in the entity is held by one or more interest holders who lawfully reside in the state;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state liquor </w:t>
      </w:r>
      <w:r>
        <w:t>((</w:t>
      </w:r>
      <w:r>
        <w:rPr>
          <w:strike/>
        </w:rPr>
        <w:t xml:space="preserve">control</w:t>
      </w:r>
      <w:r>
        <w:t>))</w:t>
      </w:r>
      <w:r>
        <w:rPr/>
        <w:t xml:space="preserve"> </w:t>
      </w:r>
      <w:r>
        <w:rPr>
          <w:u w:val="single"/>
        </w:rPr>
        <w:t xml:space="preserve">and cannabis</w:t>
      </w:r>
      <w:r>
        <w:rPr/>
        <w:t xml:space="preserve"> board approves, a license to produce, process, or sell marijuana may be transferred, without charge, to the surviving spouse or domestic partner of a deceased licensee if the license was issued in the names of one or both of the parties. For the purpose of considering the qualifications of the surviving party to receive a marijuana producer's, marijuana processor's, or marijuana retailer's license, the state liquor </w:t>
      </w:r>
      <w:r>
        <w:t>((</w:t>
      </w:r>
      <w:r>
        <w:rPr>
          <w:strike/>
        </w:rPr>
        <w:t xml:space="preserve">control</w:t>
      </w:r>
      <w:r>
        <w:t>))</w:t>
      </w:r>
      <w:r>
        <w:rPr/>
        <w:t xml:space="preserve"> </w:t>
      </w:r>
      <w:r>
        <w:rPr>
          <w:u w:val="single"/>
        </w:rPr>
        <w:t xml:space="preserve">and cannabis</w:t>
      </w:r>
      <w:r>
        <w:rPr/>
        <w:t xml:space="preserve"> board may require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state liquor </w:t>
      </w:r>
      <w:r>
        <w:t>((</w:t>
      </w:r>
      <w:r>
        <w:rPr>
          <w:strike/>
        </w:rPr>
        <w:t xml:space="preserve">control</w:t>
      </w:r>
      <w:r>
        <w:t>))</w:t>
      </w:r>
      <w:r>
        <w:rPr/>
        <w:t xml:space="preserve"> </w:t>
      </w:r>
      <w:r>
        <w:rPr>
          <w:u w:val="single"/>
        </w:rPr>
        <w:t xml:space="preserve">and cannabis</w:t>
      </w:r>
      <w:r>
        <w:rPr/>
        <w:t xml:space="preserve"> board, and state liquor </w:t>
      </w:r>
      <w:r>
        <w:t>((</w:t>
      </w:r>
      <w:r>
        <w:rPr>
          <w:strike/>
        </w:rPr>
        <w:t xml:space="preserve">control</w:t>
      </w:r>
      <w:r>
        <w:t>))</w:t>
      </w:r>
      <w:r>
        <w:rPr/>
        <w:t xml:space="preserve"> </w:t>
      </w:r>
      <w:r>
        <w:rPr>
          <w:u w:val="single"/>
        </w:rPr>
        <w:t xml:space="preserve">and cannabis</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standards adopted by the state liquor </w:t>
      </w:r>
      <w:r>
        <w:t>((</w:t>
      </w:r>
      <w:r>
        <w:rPr>
          <w:strike/>
        </w:rPr>
        <w:t xml:space="preserve">control</w:t>
      </w:r>
      <w:r>
        <w:t>))</w:t>
      </w:r>
      <w:r>
        <w:rPr/>
        <w:t xml:space="preserve"> </w:t>
      </w:r>
      <w:r>
        <w:rPr>
          <w:u w:val="single"/>
        </w:rPr>
        <w:t xml:space="preserve">and cannabis</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state liquor </w:t>
      </w:r>
      <w:r>
        <w:t>((</w:t>
      </w:r>
      <w:r>
        <w:rPr>
          <w:strike/>
        </w:rPr>
        <w:t xml:space="preserve">control</w:t>
      </w:r>
      <w:r>
        <w:t>))</w:t>
      </w:r>
      <w:r>
        <w:rPr/>
        <w:t xml:space="preserve"> </w:t>
      </w:r>
      <w:r>
        <w:rPr>
          <w:u w:val="single"/>
        </w:rPr>
        <w:t xml:space="preserve">and cannabis</w:t>
      </w:r>
      <w:r>
        <w:rPr/>
        <w:t xml:space="preserve"> board and no employee of the state liquor </w:t>
      </w:r>
      <w:r>
        <w:t>((</w:t>
      </w:r>
      <w:r>
        <w:rPr>
          <w:strike/>
        </w:rPr>
        <w:t xml:space="preserve">control</w:t>
      </w:r>
      <w:r>
        <w:t>))</w:t>
      </w:r>
      <w:r>
        <w:rPr/>
        <w:t xml:space="preserve"> </w:t>
      </w:r>
      <w:r>
        <w:rPr>
          <w:u w:val="single"/>
        </w:rPr>
        <w:t xml:space="preserve">and cannabis</w:t>
      </w:r>
      <w:r>
        <w:rPr/>
        <w:t xml:space="preserve"> board shall have any interest, directly or indirectly, in the producing, processing, or sale of marijuana, useable marijuana, or marijuana-infused products, or derive any profit or remuneration from the sale of marijuana, useable marijuana, or marijuana-infused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69.50.345(4);</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 and</w:t>
      </w:r>
    </w:p>
    <w:p>
      <w:pPr>
        <w:spacing w:before="0" w:after="0" w:line="408" w:lineRule="exact"/>
        <w:ind w:left="0" w:right="0" w:firstLine="576"/>
        <w:jc w:val="left"/>
      </w:pPr>
      <w:r>
        <w:rPr/>
        <w:t xml:space="preserve">(4)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 and</w:t>
      </w:r>
    </w:p>
    <w:p>
      <w:pPr>
        <w:spacing w:before="0" w:after="0" w:line="408" w:lineRule="exact"/>
        <w:ind w:left="0" w:right="0" w:firstLine="576"/>
        <w:jc w:val="left"/>
      </w:pPr>
      <w:r>
        <w:rPr/>
        <w:t xml:space="preserve">(3)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No marijuana licensee may:</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inflatables, characters, or cartoon characters suggesting the presence of a child, or any other depiction designed in any manner to be especially appealing to children or other persons under legal age to consume marijuana; or</w:t>
      </w:r>
    </w:p>
    <w:p>
      <w:pPr>
        <w:spacing w:before="0" w:after="0" w:line="408" w:lineRule="exact"/>
        <w:ind w:left="0" w:right="0" w:firstLine="576"/>
        <w:jc w:val="left"/>
      </w:pPr>
      <w:r>
        <w:rPr>
          <w:u w:val="single"/>
        </w:rPr>
        <w:t xml:space="preserve">(c) Use or employ a commercial mascot outside of a licensed marijuana business. A "commercial mascot" means live human being, animal, or mechanical device used for the purpose of commercial advertising, such as sign spinners, sign clowns, sandwich board signs over a live human body, and persons dressed to appear or suggest as a trademark or symbol of a commercial enterprise.</w:t>
      </w:r>
    </w:p>
    <w:p>
      <w:pPr>
        <w:spacing w:before="0" w:after="0" w:line="408" w:lineRule="exact"/>
        <w:ind w:left="0" w:right="0" w:firstLine="576"/>
        <w:jc w:val="left"/>
      </w:pPr>
      <w:r>
        <w:rPr>
          <w:u w:val="single"/>
        </w:rPr>
        <w:t xml:space="preserve">(3) No marijuana licensees may engage in outdoor advertising except as specifically provided for in this section.</w:t>
      </w:r>
    </w:p>
    <w:p>
      <w:pPr>
        <w:spacing w:before="0" w:after="0" w:line="408" w:lineRule="exact"/>
        <w:ind w:left="0" w:right="0" w:firstLine="576"/>
        <w:jc w:val="left"/>
      </w:pPr>
      <w:r>
        <w:rPr>
          <w:u w:val="single"/>
        </w:rPr>
        <w:t xml:space="preserve">(a)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w:t>
      </w:r>
    </w:p>
    <w:p>
      <w:pPr>
        <w:spacing w:before="0" w:after="0" w:line="408" w:lineRule="exact"/>
        <w:ind w:left="0" w:right="0" w:firstLine="576"/>
        <w:jc w:val="left"/>
      </w:pPr>
      <w:r>
        <w:rPr>
          <w:u w:val="single"/>
        </w:rPr>
        <w:t xml:space="preserve">(ii) On billboards that are visible from any street, road, highway, right-of-way, or public parking area; or</w:t>
      </w:r>
    </w:p>
    <w:p>
      <w:pPr>
        <w:spacing w:before="0" w:after="0" w:line="408" w:lineRule="exact"/>
        <w:ind w:left="0" w:right="0" w:firstLine="576"/>
        <w:jc w:val="left"/>
      </w:pPr>
      <w:r>
        <w:rPr>
          <w:u w:val="single"/>
        </w:rPr>
        <w:t xml:space="preserve">(iii)  On any other advertisements placed outdoors or on the inside surface of a window facing outward that do not meet the exclusionary provisions contained in (b) of this section.</w:t>
      </w:r>
    </w:p>
    <w:p>
      <w:pPr>
        <w:spacing w:before="0" w:after="0" w:line="408" w:lineRule="exact"/>
        <w:ind w:left="0" w:right="0" w:firstLine="576"/>
        <w:jc w:val="left"/>
      </w:pPr>
      <w:r>
        <w:rPr>
          <w:u w:val="single"/>
        </w:rPr>
        <w:t xml:space="preserve">(b) Outdoor advertising does not include:</w:t>
      </w:r>
    </w:p>
    <w:p>
      <w:pPr>
        <w:spacing w:before="0" w:after="0" w:line="408" w:lineRule="exact"/>
        <w:ind w:left="0" w:right="0" w:firstLine="576"/>
        <w:jc w:val="left"/>
      </w:pPr>
      <w:r>
        <w:rPr>
          <w:u w:val="single"/>
        </w:rPr>
        <w:t xml:space="preserve">(i) An individual advertisement that does not occupy an area larger than one thousand six hundred square inches and that neither is placed in such proximity to any other such advertisement so as to create a single mosaic-type advertisement larger than one thousand six hundred square inches, nor functions solely as a segment of a larger advertising unit or series, and that is placed on the outside of any licensed retail establishment that sells marijuana products, outside but on the licensed premises of any such establishment, or on the inside surface of a window facing outward in any such establishment;</w:t>
      </w:r>
    </w:p>
    <w:p>
      <w:pPr>
        <w:spacing w:before="0" w:after="0" w:line="408" w:lineRule="exact"/>
        <w:ind w:left="0" w:right="0" w:firstLine="576"/>
        <w:jc w:val="left"/>
      </w:pPr>
      <w:r>
        <w:rPr>
          <w:u w:val="single"/>
        </w:rPr>
        <w:t xml:space="preserve">(ii)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(4) No marijuana licensees may engage in transit advertisements.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(5)</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(7)(a)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The advertising rules must be as restrictive as the state and federal laws regulating cigarette advertising;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(8)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500</w:t>
      </w:r>
      <w:r>
        <w:rPr/>
        <w:t xml:space="preserve"> and 2013 c 3 s 24 are each amended to read as follows:</w:t>
      </w:r>
    </w:p>
    <w:p>
      <w:pPr>
        <w:spacing w:before="0" w:after="0" w:line="408" w:lineRule="exact"/>
        <w:ind w:left="0" w:right="0" w:firstLine="576"/>
        <w:jc w:val="left"/>
      </w:pPr>
      <w:r>
        <w:rPr/>
        <w:t xml:space="preserve">(a) It is hereby made the duty of the </w:t>
      </w:r>
      <w:r>
        <w:t>((</w:t>
      </w:r>
      <w:r>
        <w:rPr>
          <w:strike/>
        </w:rPr>
        <w:t xml:space="preserve">state board of pharmacy</w:t>
      </w:r>
      <w:r>
        <w:t>))</w:t>
      </w:r>
      <w:r>
        <w:rPr/>
        <w:t xml:space="preserve"> </w:t>
      </w:r>
      <w:r>
        <w:rPr>
          <w:u w:val="single"/>
        </w:rPr>
        <w:t xml:space="preserve">commission</w:t>
      </w:r>
      <w:r>
        <w:rPr/>
        <w:t xml:space="preserve">, the department, the state liquor </w:t>
      </w:r>
      <w:r>
        <w:t>((</w:t>
      </w:r>
      <w:r>
        <w:rPr>
          <w:strike/>
        </w:rPr>
        <w:t xml:space="preserve">control</w:t>
      </w:r>
      <w:r>
        <w:t>))</w:t>
      </w:r>
      <w:r>
        <w:rPr/>
        <w:t xml:space="preserve"> </w:t>
      </w:r>
      <w:r>
        <w:rPr>
          <w:u w:val="single"/>
        </w:rPr>
        <w:t xml:space="preserve">and cannabis</w:t>
      </w:r>
      <w:r>
        <w:rPr/>
        <w:t xml:space="preserve"> board, and their officers, agents, inspectors and representatives, and all law enforcement officers within the state, and of all prosecuting attorneys, to enforce all provisions of this chapter, except those specifically delegated, and to cooperate with all agencies charged with the enforcement of the laws of the United States, of this state, and all other states, relating to controlled substances as defined in this chapter.</w:t>
      </w:r>
    </w:p>
    <w:p>
      <w:pPr>
        <w:spacing w:before="0" w:after="0" w:line="408" w:lineRule="exact"/>
        <w:ind w:left="0" w:right="0" w:firstLine="576"/>
        <w:jc w:val="left"/>
      </w:pPr>
      <w:r>
        <w:rPr/>
        <w:t xml:space="preserve">(b) Employees of the department of health, who are so designated by the </w:t>
      </w:r>
      <w:r>
        <w:t>((</w:t>
      </w:r>
      <w:r>
        <w:rPr>
          <w:strike/>
        </w:rPr>
        <w:t xml:space="preserve">board</w:t>
      </w:r>
      <w:r>
        <w:t>))</w:t>
      </w:r>
      <w:r>
        <w:rPr/>
        <w:t xml:space="preserve"> </w:t>
      </w:r>
      <w:r>
        <w:rPr>
          <w:u w:val="single"/>
        </w:rPr>
        <w:t xml:space="preserve">commission</w:t>
      </w:r>
      <w:r>
        <w:rPr/>
        <w:t xml:space="preserve"> as enforcement officers are declared to be peace officers and shall be vested with police powers to enforce the drug laws of this state, including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With written notice to the state liquor and cannabis board, a licensed marijuana business may move furniture or display cases within the controlled point-of-sale areas, subject to later inspection by the state liquor and cannabis board's designated enforcement officers or designated employees. If such a move occurs, the licensee must maintain a complete video surveillance recording that allows for the clear and certain identification of any person and activities in point-of-sale areas of the licensed premises, from one day before the move and continuing until the board's inspection. The videos must be copied and provided to the officer or employee upon request. All recorded images must clearly and accurately display the time and date.</w:t>
      </w:r>
    </w:p>
    <w:p>
      <w:pPr>
        <w:spacing w:before="0" w:after="0" w:line="408" w:lineRule="exact"/>
        <w:ind w:left="0" w:right="0" w:firstLine="576"/>
        <w:jc w:val="left"/>
      </w:pPr>
      <w:r>
        <w:rPr/>
        <w:t xml:space="preserve">(2) If the state liquor and cannabis board discovers the movement of the furniture was made to facilitate or hide an activity that is prohibited by statute or rule, it must institute an investigation and take appropriate actions against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w:t>
      </w:r>
      <w:r>
        <w:rPr>
          <w:u w:val="single"/>
        </w:rPr>
        <w:t xml:space="preserve">(a)</w:t>
      </w:r>
      <w:r>
        <w:rPr/>
        <w:t xml:space="preserve">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u w:val="single"/>
        </w:rPr>
        <w:t xml:space="preserve">(b) After January 1, 2019, the sign required under this section must be at least sixteen hundred square inches, unless the local government with jurisdiction over the licensee adopts an ordinance establishing a different dimension.</w:t>
      </w:r>
    </w:p>
    <w:p>
      <w:pPr>
        <w:spacing w:before="0" w:after="0" w:line="408" w:lineRule="exact"/>
        <w:ind w:left="0" w:right="0" w:firstLine="576"/>
        <w:jc w:val="left"/>
      </w:pPr>
      <w:r>
        <w:rPr>
          <w:u w:val="single"/>
        </w:rPr>
        <w:t xml:space="preserve">(c) A city, town, or county may adopt an ordinance requiring the applicant's sign required under this section to be larger or smaller than the dimension specified in this subsection (2).</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robbery in the first degree or robbery in the second degree; and</w:t>
      </w:r>
    </w:p>
    <w:p>
      <w:pPr>
        <w:spacing w:before="0" w:after="0" w:line="408" w:lineRule="exact"/>
        <w:ind w:left="0" w:right="0" w:firstLine="576"/>
        <w:jc w:val="left"/>
      </w:pPr>
      <w:r>
        <w:rPr/>
        <w:t xml:space="preserve">(2) There has been a special allegation pleaded and proven beyond a reasonable doubt that the defendant</w:t>
      </w:r>
      <w:r>
        <w:rPr>
          <w:u w:val="single"/>
        </w:rPr>
        <w:t xml:space="preserve">:</w:t>
      </w:r>
    </w:p>
    <w:p>
      <w:pPr>
        <w:spacing w:before="0" w:after="0" w:line="408" w:lineRule="exact"/>
        <w:ind w:left="0" w:right="0" w:firstLine="576"/>
        <w:jc w:val="left"/>
      </w:pPr>
      <w:r>
        <w:rPr>
          <w:u w:val="single"/>
        </w:rPr>
        <w:t xml:space="preserve">(a) C</w:t>
      </w:r>
      <w:r>
        <w:rPr/>
        <w:t xml:space="preserve">ommitted a robbery of a pharmacy as defined in RCW 18.64.011</w:t>
      </w:r>
      <w:r>
        <w:t>((</w:t>
      </w:r>
      <w:r>
        <w:rPr>
          <w:strike/>
        </w:rPr>
        <w:t xml:space="preserve">(21)</w:t>
      </w:r>
      <w:r>
        <w:t>))</w:t>
      </w:r>
      <w:r>
        <w:rPr/>
        <w:t xml:space="preserve"> </w:t>
      </w:r>
      <w:r>
        <w:rPr>
          <w:u w:val="single"/>
        </w:rPr>
        <w:t xml:space="preserve">(26); or</w:t>
      </w:r>
    </w:p>
    <w:p>
      <w:pPr>
        <w:spacing w:before="0" w:after="0" w:line="408" w:lineRule="exact"/>
        <w:ind w:left="0" w:right="0" w:firstLine="576"/>
        <w:jc w:val="left"/>
      </w:pPr>
      <w:r>
        <w:rPr>
          <w:u w:val="single"/>
        </w:rPr>
        <w:t xml:space="preserve">(b) Committed a robbery of a business licensed under chapter 69.50 RCW to produce, process, research, transport, deliver, or sell marijuana</w:t>
      </w:r>
      <w:r>
        <w:rPr/>
        <w:t xml:space="preserve">;</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
      <w:pPr>
        <w:jc w:val="center"/>
      </w:pPr>
      <w:r>
        <w:rPr>
          <w:b/>
        </w:rPr>
        <w:t>--- END ---</w:t>
      </w:r>
    </w:p>
    <w:sectPr>
      <w:pgNumType w:start="1"/>
      <w:footerReference xmlns:r="http://schemas.openxmlformats.org/officeDocument/2006/relationships" r:id="R24ba1c92781f42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940dbac2d434f" /><Relationship Type="http://schemas.openxmlformats.org/officeDocument/2006/relationships/footer" Target="/word/footer.xml" Id="R24ba1c92781f42bf" /></Relationships>
</file>