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96a25f18548e6" /></Relationships>
</file>

<file path=word/document.xml><?xml version="1.0" encoding="utf-8"?>
<w:document xmlns:w="http://schemas.openxmlformats.org/wordprocessingml/2006/main">
  <w:body>
    <w:p>
      <w:r>
        <w:t>S-0365.3</w:t>
      </w:r>
    </w:p>
    <w:p>
      <w:pPr>
        <w:jc w:val="center"/>
      </w:pPr>
      <w:r>
        <w:t>_______________________________________________</w:t>
      </w:r>
    </w:p>
    <w:p/>
    <w:p>
      <w:pPr>
        <w:jc w:val="center"/>
      </w:pPr>
      <w:r>
        <w:rPr>
          <w:b/>
        </w:rPr>
        <w:t>SENATE BILL 5312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Saldaña, Walsh, Billig, Angel, Hasegawa, Keiser, Chase, Zeiger, Rolfes, Ranker, Fain, Frockt, Conway, Wellman, Darneille, Pedersen, and Miloscia</w:t>
      </w:r>
    </w:p>
    <w:p/>
    <w:p>
      <w:r>
        <w:rPr>
          <w:t xml:space="preserve">Read first time 01/19/17.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certain employers from including any question on an application about an applicant's criminal record, inquiring either orally or in writing about an applicant's criminal records, or obtaining information from a criminal background check, until after the employer initially determines that the applicant is otherwise qualified;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 and consider an applicant's criminal record in a hiring decision.</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who is hiring for a position that includes:</w:t>
      </w:r>
    </w:p>
    <w:p>
      <w:pPr>
        <w:spacing w:before="0" w:after="0" w:line="408" w:lineRule="exact"/>
        <w:ind w:left="0" w:right="0" w:firstLine="576"/>
        <w:jc w:val="left"/>
      </w:pPr>
      <w:r>
        <w:rPr/>
        <w:t xml:space="preserve">(i) Services to be performed at or in a residential property;</w:t>
      </w:r>
    </w:p>
    <w:p>
      <w:pPr>
        <w:spacing w:before="0" w:after="0" w:line="408" w:lineRule="exact"/>
        <w:ind w:left="0" w:right="0" w:firstLine="576"/>
        <w:jc w:val="left"/>
      </w:pPr>
      <w:r>
        <w:rPr/>
        <w:t xml:space="preserve">(ii) Solicitation at or in a residential property of products or services; or</w:t>
      </w:r>
    </w:p>
    <w:p>
      <w:pPr>
        <w:spacing w:before="0" w:after="0" w:line="408" w:lineRule="exact"/>
        <w:ind w:left="0" w:right="0" w:firstLine="576"/>
        <w:jc w:val="left"/>
      </w:pPr>
      <w:r>
        <w:rPr/>
        <w:t xml:space="preserve">(iii) Residential delivery services;</w:t>
      </w:r>
    </w:p>
    <w:p>
      <w:pPr>
        <w:spacing w:before="0" w:after="0" w:line="408" w:lineRule="exact"/>
        <w:ind w:left="0" w:right="0" w:firstLine="576"/>
        <w:jc w:val="left"/>
      </w:pPr>
      <w:r>
        <w:rPr/>
        <w:t xml:space="preserve">(c)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(d)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(e)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(2)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(3) This chapter may not be construed to prohibit an employer from declining to hire an applicant with a criminal record or from terminating the employment of an employee with a criminal record.</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a7b2e773001344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d91199a074ed5" /><Relationship Type="http://schemas.openxmlformats.org/officeDocument/2006/relationships/footer" Target="/word/footer.xml" Id="Ra7b2e7730013443c" /></Relationships>
</file>