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5b61906f04c09" /></Relationships>
</file>

<file path=word/document.xml><?xml version="1.0" encoding="utf-8"?>
<w:document xmlns:w="http://schemas.openxmlformats.org/wordprocessingml/2006/main">
  <w:body>
    <w:p>
      <w:r>
        <w:t>S-0195.1</w:t>
      </w:r>
    </w:p>
    <w:p>
      <w:pPr>
        <w:jc w:val="center"/>
      </w:pPr>
      <w:r>
        <w:t>_______________________________________________</w:t>
      </w:r>
    </w:p>
    <w:p/>
    <w:p>
      <w:pPr>
        <w:jc w:val="center"/>
      </w:pPr>
      <w:r>
        <w:rPr>
          <w:b/>
        </w:rPr>
        <w:t>SENATE BILL 5327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Padden</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clerks; and amending RCW 2.32.050, 26.09.231, and 36.23.110.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2011 c 336 s 45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w:t>
      </w:r>
      <w:r>
        <w:t>((</w:t>
      </w:r>
      <w:r>
        <w:rPr>
          <w:strike/>
        </w:rPr>
        <w:t xml:space="preserve">journal</w:t>
      </w:r>
      <w:r>
        <w:t>))</w:t>
      </w:r>
      <w:r>
        <w:rPr/>
        <w:t xml:space="preserve"> </w:t>
      </w:r>
      <w:r>
        <w:rPr>
          <w:u w:val="single"/>
        </w:rPr>
        <w:t xml:space="preserve">minutes</w:t>
      </w:r>
      <w:r>
        <w:rPr/>
        <w:t xml:space="preserve">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w:t>
      </w:r>
      <w:r>
        <w:t>((</w:t>
      </w:r>
      <w:r>
        <w:rPr>
          <w:strike/>
        </w:rPr>
        <w:t xml:space="preserve">In the performance of his or her duties to conform to the direction of the court;</w:t>
      </w:r>
      <w:r>
        <w:t>))</w:t>
      </w:r>
      <w:r>
        <w:rPr/>
        <w:t xml:space="preserve"> </w:t>
      </w:r>
      <w:r>
        <w:rPr>
          <w:u w:val="single"/>
        </w:rPr>
        <w:t xml:space="preserve">To support the court in the performance of the courts' statutory duties;</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231</w:t>
      </w:r>
      <w:r>
        <w:rPr/>
        <w:t xml:space="preserve"> and 2007 c 496 s 701 are each amended to read as follows:</w:t>
      </w:r>
    </w:p>
    <w:p>
      <w:pPr>
        <w:spacing w:before="0" w:after="0" w:line="408" w:lineRule="exact"/>
        <w:ind w:left="0" w:right="0" w:firstLine="576"/>
        <w:jc w:val="left"/>
      </w:pPr>
      <w:r>
        <w:rPr/>
        <w:t xml:space="preserve">The parties to dissolution matters shall file with the clerk of the court the residential time summary report. The summary report shall be on the form developed by the administrative office of the courts in consultation with the department of social and health services division of child support. The parties must complete the form and file the form with the court order. </w:t>
      </w:r>
      <w:r>
        <w:t>((</w:t>
      </w:r>
      <w:r>
        <w:rPr>
          <w:strike/>
        </w:rPr>
        <w:t xml:space="preserve">The clerk of the court must forward the form to the division of child support on at least a monthly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23</w:t>
      </w:r>
      <w:r>
        <w:rPr/>
        <w:t xml:space="preserve">.</w:t>
      </w:r>
      <w:r>
        <w:t xml:space="preserve">110</w:t>
      </w:r>
      <w:r>
        <w:rPr/>
        <w:t xml:space="preserve"> and 2003 c 379 s 20 are each amended to read as follows:</w:t>
      </w:r>
    </w:p>
    <w:p>
      <w:pPr>
        <w:spacing w:before="0" w:after="0" w:line="408" w:lineRule="exact"/>
        <w:ind w:left="0" w:right="0" w:firstLine="576"/>
        <w:jc w:val="left"/>
      </w:pPr>
      <w:r>
        <w:rPr/>
        <w:t xml:space="preserve">The Washington association of county officials, in consultation with county clerks, shall determine a funding formula for allocation of moneys to counties for purposes of collecting legal financial obligations, and report this formula to the legislature and the administrative office of the courts by September 1, 2003. </w:t>
      </w:r>
      <w:r>
        <w:t>((</w:t>
      </w:r>
      <w:r>
        <w:rPr>
          <w:strike/>
        </w:rPr>
        <w:t xml:space="preserve">The Washington association of county officials shall report on the amounts of legal financial obligations collected by the county clerks to the appropriate committees of the legislature no later than December 1, 2004, and annually thereafter.</w:t>
      </w:r>
      <w:r>
        <w:t>))</w:t>
      </w:r>
    </w:p>
    <w:p/>
    <w:p>
      <w:pPr>
        <w:jc w:val="center"/>
      </w:pPr>
      <w:r>
        <w:rPr>
          <w:b/>
        </w:rPr>
        <w:t>--- END ---</w:t>
      </w:r>
    </w:p>
    <w:sectPr>
      <w:pgNumType w:start="1"/>
      <w:footerReference xmlns:r="http://schemas.openxmlformats.org/officeDocument/2006/relationships" r:id="Rf59c2505e22549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b07596a984c17" /><Relationship Type="http://schemas.openxmlformats.org/officeDocument/2006/relationships/footer" Target="/word/footer.xml" Id="Rf59c2505e225493d" /></Relationships>
</file>