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4cf1c7bff4a8d" /></Relationships>
</file>

<file path=word/document.xml><?xml version="1.0" encoding="utf-8"?>
<w:document xmlns:w="http://schemas.openxmlformats.org/wordprocessingml/2006/main">
  <w:body>
    <w:p>
      <w:r>
        <w:t>S-1316.1</w:t>
      </w:r>
    </w:p>
    <w:p>
      <w:pPr>
        <w:jc w:val="center"/>
      </w:pPr>
      <w:r>
        <w:t>_______________________________________________</w:t>
      </w:r>
    </w:p>
    <w:p/>
    <w:p>
      <w:pPr>
        <w:jc w:val="center"/>
      </w:pPr>
      <w:r>
        <w:rPr>
          <w:b/>
        </w:rPr>
        <w:t>SUBSTITUTE SENATE BILL 5346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Walsh, Rolfes, Zeiger, Hobbs, Warnick, Pedersen, Nelson, Darneille, Kuderer, Hunt, Keiser, McCoy, Honeyford, Fain, Liias, Cleveland, Sheldon, Conway, Pearson, Frockt, Wilson, Bailey, and Hasegawa)</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page scholarship program; reenacting and amending RCW 43.79A.040;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a legislative page scholarship program to provide resources for Washington students who participate in the page programs of the senate or house of representatives. The scholarship program should provide assistance to students, based on financial need, who qualify for a page program. The program is called the Gina Grant Bull memorial legislative page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legislative page scholarship program authorized in section 1 of this act.</w:t>
      </w:r>
    </w:p>
    <w:p>
      <w:pPr>
        <w:spacing w:before="0" w:after="0" w:line="408" w:lineRule="exact"/>
        <w:ind w:left="0" w:right="0" w:firstLine="576"/>
        <w:jc w:val="left"/>
      </w:pPr>
      <w:r>
        <w:rPr/>
        <w:t xml:space="preserve">(3) Moneys received under this section must be deposited in the legislative page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legislative page scholarship account is created in the custody of the state treasurer. All moneys received under section 1 of this act must be deposited in the account. Expenditures from the account may be made only for the purposes of the legislative page scholarship program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legislative page scholarship account created in section 2 of this act. Furthermore, this chapter does not prohibit any legislative member or legislative employee from soliciting gifts for the legislative page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w:t>
      </w:r>
      <w:r>
        <w:rPr>
          <w:u w:val="single"/>
        </w:rPr>
        <w:t xml:space="preserve">the legislative page scholarship 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19aab4ced33741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8d2e9189d44cf" /><Relationship Type="http://schemas.openxmlformats.org/officeDocument/2006/relationships/footer" Target="/word/footer.xml" Id="R19aab4ced3374136" /></Relationships>
</file>