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0676c4efb4a70" /></Relationships>
</file>

<file path=word/document.xml><?xml version="1.0" encoding="utf-8"?>
<w:document xmlns:w="http://schemas.openxmlformats.org/wordprocessingml/2006/main">
  <w:body>
    <w:p>
      <w:r>
        <w:t>S-4746.1</w:t>
      </w:r>
    </w:p>
    <w:p>
      <w:pPr>
        <w:jc w:val="center"/>
      </w:pPr>
      <w:r>
        <w:t>_______________________________________________</w:t>
      </w:r>
    </w:p>
    <w:p/>
    <w:p>
      <w:pPr>
        <w:jc w:val="center"/>
      </w:pPr>
      <w:r>
        <w:rPr>
          <w:b/>
        </w:rPr>
        <w:t>SUBSTITUTE SENATE BILL 5397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Warnick, Liias, Walsh, Nelson, O'Ban, Billig, Kuderer, King, Honeyford, Wilson, Pedersen, Hunt, Wellman, Saldaña, and Carlyle)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adding new sections to chapter 42.17A RCW; adding a new section to chapter 29A.04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have been submitted to the office of the secretary of state.</w:t>
      </w:r>
    </w:p>
    <w:p>
      <w:pPr>
        <w:spacing w:before="0" w:after="0" w:line="408" w:lineRule="exact"/>
        <w:ind w:left="0" w:right="0" w:firstLine="576"/>
        <w:jc w:val="left"/>
      </w:pPr>
      <w:r>
        <w:rPr/>
        <w:t xml:space="preserve">(2)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(3) The legislature recognizes that the public has a right to know which entities are compensating individuals to gather signatures in Washington state, just as the public has a right to know which entities compensate lobbyists or contribute to political campaigns.</w:t>
      </w:r>
    </w:p>
    <w:p>
      <w:pPr>
        <w:spacing w:before="0" w:after="0" w:line="408" w:lineRule="exact"/>
        <w:ind w:left="0" w:right="0" w:firstLine="576"/>
        <w:jc w:val="left"/>
      </w:pPr>
      <w:r>
        <w:rPr/>
        <w:t xml:space="preserve">(4) The legislature further recognizes that it should be easier for voters and property owners to contact entities that compensate signature gatherers when signature gatherers cause problems such as harassment of customers to mitigate those problems.</w:t>
      </w:r>
    </w:p>
    <w:p>
      <w:pPr>
        <w:spacing w:before="0" w:after="0" w:line="408" w:lineRule="exact"/>
        <w:ind w:left="0" w:right="0" w:firstLine="576"/>
        <w:jc w:val="left"/>
      </w:pPr>
      <w:r>
        <w:rPr/>
        <w:t xml:space="preserve">(5)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ballot measure sponsor or political committee that employs, or expects to employ, any person for the purpose of compensating individuals for gathering signatures on a state or local initiative, referendum, or recall petition in this state must, at the time of registration or within ten days of employing the person, disclose to the commission:</w:t>
      </w:r>
    </w:p>
    <w:p>
      <w:pPr>
        <w:spacing w:before="0" w:after="0" w:line="408" w:lineRule="exact"/>
        <w:ind w:left="0" w:right="0" w:firstLine="576"/>
        <w:jc w:val="left"/>
      </w:pPr>
      <w:r>
        <w:rPr/>
        <w:t xml:space="preserve">(a) The name of the person employed for the purpose of compensating individuals to gather signatures;</w:t>
      </w:r>
    </w:p>
    <w:p>
      <w:pPr>
        <w:spacing w:before="0" w:after="0" w:line="408" w:lineRule="exact"/>
        <w:ind w:left="0" w:right="0" w:firstLine="576"/>
        <w:jc w:val="left"/>
      </w:pPr>
      <w:r>
        <w:rPr/>
        <w:t xml:space="preserve">(b) The physical and mailing addresses of the person employed for the purpose of compensating individuals to gather signatures;</w:t>
      </w:r>
    </w:p>
    <w:p>
      <w:pPr>
        <w:spacing w:before="0" w:after="0" w:line="408" w:lineRule="exact"/>
        <w:ind w:left="0" w:right="0" w:firstLine="576"/>
        <w:jc w:val="left"/>
      </w:pPr>
      <w:r>
        <w:rPr/>
        <w:t xml:space="preserve">(c) The phone number of the person employed for the purpose of compensating individuals to gather signatures;</w:t>
      </w:r>
    </w:p>
    <w:p>
      <w:pPr>
        <w:spacing w:before="0" w:after="0" w:line="408" w:lineRule="exact"/>
        <w:ind w:left="0" w:right="0" w:firstLine="576"/>
        <w:jc w:val="left"/>
      </w:pPr>
      <w:r>
        <w:rPr/>
        <w:t xml:space="preserve">(d) An email address for the person employed for the purpose of compensating individuals to gather signatures; and</w:t>
      </w:r>
    </w:p>
    <w:p>
      <w:pPr>
        <w:spacing w:before="0" w:after="0" w:line="408" w:lineRule="exact"/>
        <w:ind w:left="0" w:right="0" w:firstLine="576"/>
        <w:jc w:val="left"/>
      </w:pPr>
      <w:r>
        <w:rPr/>
        <w:t xml:space="preserve">(e) A list of the initiative, referendum, and recall petitions for which the person employed is compensating individuals to gather signatures.</w:t>
      </w:r>
    </w:p>
    <w:p>
      <w:pPr>
        <w:spacing w:before="0" w:after="0" w:line="408" w:lineRule="exact"/>
        <w:ind w:left="0" w:right="0" w:firstLine="576"/>
        <w:jc w:val="left"/>
      </w:pPr>
      <w:r>
        <w:rPr/>
        <w:t xml:space="preserve">(2) The commission must make the information disclosed in subsection (1) of this section available to the public within two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ballot measure sponsor or political committee must ensure that each person that directly compensates any individual for gathering signatures is keeping the following information on file until two years after the certification date of the ballot measures for which an individual was compensated for gathering signatures, and provide the information upon request to the commission or any law enforcement agency:</w:t>
      </w:r>
    </w:p>
    <w:p>
      <w:pPr>
        <w:spacing w:before="0" w:after="0" w:line="408" w:lineRule="exact"/>
        <w:ind w:left="0" w:right="0" w:firstLine="576"/>
        <w:jc w:val="left"/>
      </w:pPr>
      <w:r>
        <w:rPr/>
        <w:t xml:space="preserve">(a) The full name, and any assumed names, of the signature gatherer;</w:t>
      </w:r>
    </w:p>
    <w:p>
      <w:pPr>
        <w:spacing w:before="0" w:after="0" w:line="408" w:lineRule="exact"/>
        <w:ind w:left="0" w:right="0" w:firstLine="576"/>
        <w:jc w:val="left"/>
      </w:pPr>
      <w:r>
        <w:rPr/>
        <w:t xml:space="preserve">(b) The permanent address of the signature gatherer, and a Washington address if the signature gatherer is from out of state;</w:t>
      </w:r>
    </w:p>
    <w:p>
      <w:pPr>
        <w:spacing w:before="0" w:after="0" w:line="408" w:lineRule="exact"/>
        <w:ind w:left="0" w:right="0" w:firstLine="576"/>
        <w:jc w:val="left"/>
      </w:pPr>
      <w:r>
        <w:rPr/>
        <w:t xml:space="preserve">(c) The phone number of the signature gatherer;</w:t>
      </w:r>
    </w:p>
    <w:p>
      <w:pPr>
        <w:spacing w:before="0" w:after="0" w:line="408" w:lineRule="exact"/>
        <w:ind w:left="0" w:right="0" w:firstLine="576"/>
        <w:jc w:val="left"/>
      </w:pPr>
      <w:r>
        <w:rPr/>
        <w:t xml:space="preserve">(d) An email address for the signature gatherer;</w:t>
      </w:r>
    </w:p>
    <w:p>
      <w:pPr>
        <w:spacing w:before="0" w:after="0" w:line="408" w:lineRule="exact"/>
        <w:ind w:left="0" w:right="0" w:firstLine="576"/>
        <w:jc w:val="left"/>
      </w:pPr>
      <w:r>
        <w:rPr/>
        <w:t xml:space="preserve">(e)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(f)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(g)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(h) Documentation that the signature gatherer has completed a training program that includes the rights and responsibilities of voters, signature gatherers, public property owners, and private property owners in the initiative and referendum process. The training program must be available in electronic format and easy to access for the signature gatherer; and</w:t>
      </w:r>
    </w:p>
    <w:p>
      <w:pPr>
        <w:spacing w:before="0" w:after="0" w:line="408" w:lineRule="exact"/>
        <w:ind w:left="0" w:right="0" w:firstLine="576"/>
        <w:jc w:val="left"/>
      </w:pPr>
      <w:r>
        <w:rPr/>
        <w:t xml:space="preserve">(i)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w:t>
      </w:r>
    </w:p>
    <w:p>
      <w:pPr>
        <w:spacing w:before="0" w:after="0" w:line="408" w:lineRule="exact"/>
        <w:ind w:left="0" w:right="0" w:firstLine="576"/>
        <w:jc w:val="left"/>
      </w:pPr>
      <w:r>
        <w:rPr/>
        <w:t xml:space="preserve">(2) A person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 person must, within five days, update his or her disclosure if he or she agrees to or compensates for signatures on an initiative, referendum, or recall petition not already disclosed.</w:t>
      </w:r>
    </w:p>
    <w:p>
      <w:pPr>
        <w:spacing w:before="0" w:after="0" w:line="408" w:lineRule="exact"/>
        <w:ind w:left="0" w:right="0" w:firstLine="576"/>
        <w:jc w:val="left"/>
      </w:pPr>
      <w:r>
        <w:rPr/>
        <w:t xml:space="preserve">(4) A person may not condition compensation for petition signatures based on receiving other petition signatures for free.</w:t>
      </w:r>
    </w:p>
    <w:p>
      <w:pPr>
        <w:spacing w:before="0" w:after="0" w:line="408" w:lineRule="exact"/>
        <w:ind w:left="0" w:right="0" w:firstLine="576"/>
        <w:jc w:val="left"/>
      </w:pPr>
      <w:r>
        <w:rPr/>
        <w:t xml:space="preserve">(5) Any violation of this section is subject to a penalty pursuant to RCW 42.17A.755.</w:t>
      </w:r>
    </w:p>
    <w:p>
      <w:pPr>
        <w:spacing w:before="0" w:after="0" w:line="408" w:lineRule="exact"/>
        <w:ind w:left="0" w:right="0" w:firstLine="576"/>
        <w:jc w:val="left"/>
      </w:pPr>
      <w:r>
        <w:rPr/>
        <w:t xml:space="preserve">(6)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state shall provide references to applicable statutes and case law for inclusion in training programs for signature gatherers as required by section 3(1)(h) of this act.</w:t>
      </w:r>
    </w:p>
    <w:p>
      <w:pPr>
        <w:spacing w:before="0" w:after="0" w:line="408" w:lineRule="exact"/>
        <w:ind w:left="0" w:right="0" w:firstLine="576"/>
        <w:jc w:val="left"/>
      </w:pPr>
      <w:r>
        <w:rPr/>
        <w:t xml:space="preserve">(2) The secretary of state shall post the information provided under section 2 of this act to its web site and provide links with each ballot measure to any persons employed by ballot measure sponsors that compensate individuals for signature gathering.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096612002724a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fbf9045524db8" /><Relationship Type="http://schemas.openxmlformats.org/officeDocument/2006/relationships/footer" Target="/word/footer.xml" Id="R5096612002724af9" /></Relationships>
</file>