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9b35d32c6b4fa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5407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Frockt, Miloscia, Walsh, Mullet, Billig, Kuderer, Pedersen, Hasegawa, Darneille, and Keiser)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amending RCW 36.22.178; amending 2017 3rd sp.s. c 4 s 1028 (uncodified); adding a new section to chapter 59.18 RCW; adding new sections to chapter 43.31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(i) Prospective tenant's or current tenant's source of income is conditioned on the real property passing inspection; (ii) written estimate of the cost of improvements necessary to pass inspection is more than one thousand five hundred dollars; and (iii) landlord has not received moneys from the landlord mitigation program account to make the improvements;</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publish, circulate, issue, or display, or cause to be published, circulated, issued, or displayed, any communication, notice, advertisement, or sign of any kind relating to the rental or lease of real property that indicates a preference, limitation, or requirement based on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 and administered by the department. The department shall have such rule-making authority as the department deems necessary to administer the program. The following types of claims related to landlord mitigation for renting private market rental units to low-income tenants using a source of income in section 1(5) of this act are eligible for reimbursement from the landlord mitigation program account:</w:t>
      </w:r>
    </w:p>
    <w:p>
      <w:pPr>
        <w:spacing w:before="0" w:after="0" w:line="408" w:lineRule="exact"/>
        <w:ind w:left="0" w:right="0" w:firstLine="576"/>
        <w:jc w:val="left"/>
      </w:pPr>
      <w:r>
        <w:rPr/>
        <w:t xml:space="preserve">(a) Up to one thousand dollars for improvements identified in section 1(1)(a) of this act. In order to be eligible for reimbursement under this subsection (1)(a), the landlord must pay for the first five hundred dollars for improvements, and rent to the tenant whose source of income was conditioned on the real property passing inspection. Reimbursement under this subsection (1)(a) may also include up to fourteen days of lost rental income from the date of offer of housing to the applicant whose source of income was conditioned on the real property passing inspection until move in by that applicant;</w:t>
      </w:r>
    </w:p>
    <w:p>
      <w:pPr>
        <w:spacing w:before="0" w:after="0" w:line="408" w:lineRule="exact"/>
        <w:ind w:left="0" w:right="0" w:firstLine="576"/>
        <w:jc w:val="left"/>
      </w:pPr>
      <w:r>
        <w:rPr/>
        <w:t xml:space="preserve">(b) Reimbursement for damages as reflected in a judgment obtained against the tenant through either an unlawful detainer proceeding, or through a civil action in a court of competent jurisdiction after a hearing; and</w:t>
      </w:r>
    </w:p>
    <w:p>
      <w:pPr>
        <w:spacing w:before="0" w:after="0" w:line="408" w:lineRule="exact"/>
        <w:ind w:left="0" w:right="0" w:firstLine="576"/>
        <w:jc w:val="left"/>
      </w:pPr>
      <w:r>
        <w:rPr/>
        <w:t xml:space="preserve">(c) Reimbursement for damages established pursuant to subsection (2) of this section.</w:t>
      </w:r>
    </w:p>
    <w:p>
      <w:pPr>
        <w:spacing w:before="0" w:after="0" w:line="408" w:lineRule="exact"/>
        <w:ind w:left="0" w:right="0" w:firstLine="576"/>
        <w:jc w:val="left"/>
      </w:pPr>
      <w:r>
        <w:rPr/>
        <w:t xml:space="preserve">(2) In order for a claim under subsection (1)(c)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whose source of income is specified in section 1(5) of this act and who is using public rental assistance to pay for rent, such as a housing choice rental voucher.</w:t>
      </w:r>
    </w:p>
    <w:p>
      <w:pPr>
        <w:spacing w:before="0" w:after="0" w:line="408" w:lineRule="exact"/>
        <w:ind w:left="0" w:right="0" w:firstLine="576"/>
        <w:jc w:val="left"/>
      </w:pPr>
      <w:r>
        <w:rPr/>
        <w:t xml:space="preserve">(4) Damages from a tenancy must total at least five hundred dollars in order for a claim to be eligible for reimbursement from the program. While damages may exceed five thousand dollars,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 Damages may also include unpaid rent, provided that the landlord can evidence it to the department's satisfaction, in an amount not to exceed twenty percent of the total claim submitted.</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(1)(c)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(b)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identified in section 2 of this act related to private market rental units during the time of their rental to tenants whose source of income is specified in section 1(5) of this act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ten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w:t>
      </w:r>
      <w:r>
        <w:t>((</w:t>
      </w:r>
      <w:r>
        <w:rPr>
          <w:strike/>
        </w:rPr>
        <w:t xml:space="preserve">ten</w:t>
      </w:r>
      <w:r>
        <w:t>))</w:t>
      </w:r>
      <w:r>
        <w:rPr/>
        <w:t xml:space="preserve"> </w:t>
      </w:r>
      <w:r>
        <w:rPr>
          <w:u w:val="single"/>
        </w:rPr>
        <w:t xml:space="preserve">thirteen</w:t>
      </w:r>
      <w:r>
        <w:rPr/>
        <w:t xml:space="preserve">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w:t>
      </w:r>
      <w:r>
        <w:rPr>
          <w:u w:val="single"/>
        </w:rPr>
        <w:t xml:space="preserve">: (a) T</w:t>
      </w:r>
      <w:r>
        <w:rPr/>
        <w:t xml:space="preserve">he </w:t>
      </w:r>
      <w:r>
        <w:rPr>
          <w:u w:val="single"/>
        </w:rPr>
        <w:t xml:space="preserve">portion of the</w:t>
      </w:r>
      <w:r>
        <w:rPr/>
        <w:t xml:space="preserve"> funds </w:t>
      </w:r>
      <w:r>
        <w:rPr>
          <w:u w:val="single"/>
        </w:rPr>
        <w:t xml:space="preserve">attributable to ten dollars of the surcharge</w:t>
      </w:r>
      <w:r>
        <w:rPr/>
        <w:t xml:space="preserv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r>
        <w:rPr>
          <w:u w:val="single"/>
        </w:rPr>
        <w:t xml:space="preserve">; and (b) the portion of the funds attributable to three dollars of the surcharge into the landlord mitigation program account created in section 3 of this act</w:t>
      </w:r>
      <w:r>
        <w:rPr/>
        <w:t xml:space="preserve">.</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
      <w:pPr>
        <w:jc w:val="center"/>
      </w:pPr>
      <w:r>
        <w:rPr>
          <w:b/>
        </w:rPr>
        <w:t>--- END ---</w:t>
      </w:r>
    </w:p>
    <w:sectPr>
      <w:pgNumType w:start="1"/>
      <w:footerReference xmlns:r="http://schemas.openxmlformats.org/officeDocument/2006/relationships" r:id="R9a982defcb8749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9ce75a6d8c41ac" /><Relationship Type="http://schemas.openxmlformats.org/officeDocument/2006/relationships/footer" Target="/word/footer.xml" Id="R9a982defcb8749e7" /></Relationships>
</file>