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2ea32d35643b3" /></Relationships>
</file>

<file path=word/document.xml><?xml version="1.0" encoding="utf-8"?>
<w:document xmlns:w="http://schemas.openxmlformats.org/wordprocessingml/2006/main">
  <w:body>
    <w:p>
      <w:r>
        <w:t>S-1187.1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5408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Financial Institutions &amp; Insurance (originally sponsored by Senators Cleveland, Miloscia, Kuderer, Saldaña, Frockt, Pedersen, Darneille, and Keiser)</w:t>
      </w:r>
    </w:p>
    <w:p/>
    <w:p>
      <w:r>
        <w:rPr>
          <w:t xml:space="preserve">READ FIRST TIME 02/06/17.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notice of termination for tenancies under the residential landlord-tenant act; and amending RCW 59.18.200.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59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200</w:t>
      </w:r>
      <w:r>
        <w:rPr/>
        <w:t xml:space="preserve"> and 2008 c 113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When premises are rented for an indefinite time, with monthly or other periodic rent reserved, such tenancy shall be construed to be a tenancy from month to month, or from period to period on which rent is payable, and shall be terminated by written notice of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 days or more, preceding the end of any of the months or periods of tenancy, given by either party to the other.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tenant who is a member of the armed forces, including the national guard and armed forces reserves, or that tenant's spouse or dependant, may terminate a rental agreement with less than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 days' notice if the tenant receives reassignment or deployment orders that do not allow a </w:t>
      </w:r>
      <w:r>
        <w:t>((</w:t>
      </w:r>
      <w:r>
        <w:rPr>
          <w:strike/>
        </w:rPr>
        <w:t xml:space="preserve">twenty-day</w:t>
      </w:r>
      <w:r>
        <w:t>))</w:t>
      </w:r>
      <w:r>
        <w:rPr/>
        <w:t xml:space="preserve"> </w:t>
      </w:r>
      <w:r>
        <w:rPr>
          <w:u w:val="single"/>
        </w:rPr>
        <w:t xml:space="preserve">thirty-day</w:t>
      </w:r>
      <w:r>
        <w:rPr/>
        <w:t xml:space="preserve"> notice.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Whenever a landlord plans to change to a policy of excluding children, the landlord shall give a written notice to a tenant at least ninety days before termination of the tenancy to effectuate such change in policy. Such ninety-day notice shall be in lieu of the notice required by subsection (1) of this section. However, if after giving the ninety-day notice the change in policy is delayed, the notice requirements of subsection (1) of this section shall apply unless waived by the tenant.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Whenever a landlord plans to change any apartment or apartments to a condominium form of ownership, the landlord shall provide a written notice to a tenant at least one hundred twenty days before termination of the tenancy, in compliance with RCW 64.34.440(1), to effectuate such change. The one hundred twenty-day notice is in lieu of the notice required in subsection (1) of this section. However, if after providing the one hundred twenty-day notice the change to a condominium form of ownership is delayed, the notice requirements in subsection (1) of this section apply unless waived by the tenant.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82e2b6ff8664b0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5408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82453edd047de" /><Relationship Type="http://schemas.openxmlformats.org/officeDocument/2006/relationships/footer" Target="/word/footer.xml" Id="R982e2b6ff8664b0e" /></Relationships>
</file>