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7861437e7478c" /></Relationships>
</file>

<file path=word/document.xml><?xml version="1.0" encoding="utf-8"?>
<w:document xmlns:w="http://schemas.openxmlformats.org/wordprocessingml/2006/main">
  <w:body>
    <w:p>
      <w:r>
        <w:t>Z-0347.1</w:t>
      </w:r>
    </w:p>
    <w:p>
      <w:pPr>
        <w:jc w:val="center"/>
      </w:pPr>
      <w:r>
        <w:t>_______________________________________________</w:t>
      </w:r>
    </w:p>
    <w:p/>
    <w:p>
      <w:pPr>
        <w:jc w:val="center"/>
      </w:pPr>
      <w:r>
        <w:rPr>
          <w:b/>
        </w:rPr>
        <w:t>SENATE BILL 5425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Rolfes, McCoy, Chase, Frockt, Ranker, Keiser, Hunt, Kuderer, and Saldaña; by request of Department of Ecology</w:t>
      </w:r>
    </w:p>
    <w:p/>
    <w:p>
      <w:r>
        <w:rPr>
          <w:t xml:space="preserve">Read first time 01/24/17.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funding for oil spill programs in Washington by increasing revenue to the oil spill prevention account; amending RCW 82.23B.020 and 90.56.510;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changes in oil transport throughout the state and its transboundary environments poses new and evolving spill risks that require state agencies to perform essential ongoing activities, including those activities directed by the oil transportation safety act (chapter 274, Laws of 2015), in order to prevent oil spills and prepare for a rapid, aggressive, and well-coordinated response when spills occur.</w:t>
      </w:r>
    </w:p>
    <w:p>
      <w:pPr>
        <w:spacing w:before="0" w:after="0" w:line="408" w:lineRule="exact"/>
        <w:ind w:left="0" w:right="0" w:firstLine="576"/>
        <w:jc w:val="left"/>
      </w:pPr>
      <w:r>
        <w:rPr/>
        <w:t xml:space="preserve">(2) The legislature further finds that existing funding sources for oil spill prevention and preparedness-related activities, including the barrel tax as described in RCW 82.23B.020, are not currently adequate to carry out these essential ongoing activities.</w:t>
      </w:r>
    </w:p>
    <w:p>
      <w:pPr>
        <w:spacing w:before="0" w:after="0" w:line="408" w:lineRule="exact"/>
        <w:ind w:left="0" w:right="0" w:firstLine="576"/>
        <w:jc w:val="left"/>
      </w:pPr>
      <w:r>
        <w:rPr/>
        <w:t xml:space="preserve">(3) It is the intent of the legislature that the state's essential ongoing oil spill prevention and preparedness activities have an adequate funding source to protect public health and safety and the environment from the risks posed by the changing oil transport picture.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The tax imposed in this section is levied upon the owner of the crude oil or petroleum products immediately after receipt of the same into the storage tanks of a marine or bulk oil terminal from a tank car or waterborne vessel or barge at the rate of </w:t>
      </w:r>
      <w:r>
        <w:t>((</w:t>
      </w:r>
      <w:r>
        <w:rPr>
          <w:strike/>
        </w:rPr>
        <w:t xml:space="preserve">four</w:t>
      </w:r>
      <w:r>
        <w:t>))</w:t>
      </w:r>
      <w:r>
        <w:rPr/>
        <w:t xml:space="preserve"> </w:t>
      </w:r>
      <w:r>
        <w:rPr>
          <w:u w:val="single"/>
        </w:rPr>
        <w:t xml:space="preserve">six and one-half</w:t>
      </w:r>
      <w:r>
        <w:rPr/>
        <w:t xml:space="preserve">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 All receipts from the tax imposed in subsection (1) of this section must be deposited into the state oil spill response account. All receipts from the tax imposed in subsection (2) of this section shall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w:t>
      </w:r>
      <w:r>
        <w:t>((</w:t>
      </w:r>
      <w:r>
        <w:rPr>
          <w:strike/>
        </w:rPr>
        <w:t xml:space="preserve">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r>
        <w:t>))</w:t>
      </w:r>
    </w:p>
    <w:p>
      <w:pPr>
        <w:spacing w:before="0" w:after="0" w:line="408" w:lineRule="exact"/>
        <w:ind w:left="0" w:right="0" w:firstLine="576"/>
        <w:jc w:val="left"/>
      </w:pPr>
      <w:r>
        <w:rPr/>
        <w:t xml:space="preserve">(2) Expenditures from the oil spill prevention account </w:t>
      </w:r>
      <w:r>
        <w:t>((</w:t>
      </w:r>
      <w:r>
        <w:rPr>
          <w:strike/>
        </w:rPr>
        <w:t xml:space="preserve">shall</w:t>
      </w:r>
      <w:r>
        <w:t>))</w:t>
      </w:r>
      <w:r>
        <w:rPr/>
        <w:t xml:space="preserve"> </w:t>
      </w:r>
      <w:r>
        <w:rPr>
          <w:u w:val="single"/>
        </w:rPr>
        <w:t xml:space="preserve">must</w:t>
      </w:r>
      <w:r>
        <w:rPr/>
        <w:t xml:space="preserve"> be used exclusively for the administrative costs related to the purposes of this chapter, and chapters 90.48, 88.40, and 88.46 RCW. In addition, until June 30, 2019,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w:t>
      </w:r>
      <w:r>
        <w:t>((</w:t>
      </w:r>
      <w:r>
        <w:rPr>
          <w:strike/>
        </w:rPr>
        <w:t xml:space="preserve">shall</w:t>
      </w:r>
      <w:r>
        <w:t>))</w:t>
      </w:r>
      <w:r>
        <w:rPr/>
        <w:t xml:space="preserve"> </w:t>
      </w:r>
      <w:r>
        <w:rPr>
          <w:u w:val="single"/>
        </w:rPr>
        <w:t xml:space="preserve">must</w:t>
      </w:r>
      <w:r>
        <w:rPr/>
        <w:t xml:space="preserve">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4566c03dbdef44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bddae0433454b" /><Relationship Type="http://schemas.openxmlformats.org/officeDocument/2006/relationships/footer" Target="/word/footer.xml" Id="R4566c03dbdef4467" /></Relationships>
</file>