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1443b73dd43a9" /></Relationships>
</file>

<file path=word/document.xml><?xml version="1.0" encoding="utf-8"?>
<w:document xmlns:w="http://schemas.openxmlformats.org/wordprocessingml/2006/main">
  <w:body>
    <w:p>
      <w:r>
        <w:t>S-0449.1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Hasegawa, King, Hobbs, Conway, Miloscia, Keiser, Takko, Warnick, Wellman, Hawkins, Chase, Darneille, Pedersen, Hunt, and Saldaña</w:t>
      </w:r>
    </w:p>
    <w:p/>
    <w:p>
      <w:r>
        <w:rPr>
          <w:t xml:space="preserve">Read first time 01/26/17.  </w:t>
        </w:rPr>
      </w:r>
      <w:r>
        <w:rPr>
          <w:t xml:space="preserve">Referred to Committee on Commerce, Labor &amp; Sports.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time period for workers to recover wages under prevailing wage laws; and amending RCW 39.12.015.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015</w:t>
      </w:r>
      <w:r>
        <w:rPr/>
        <w:t xml:space="preserve"> and 1965 ex.s. c 133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determinations of the prevailing rate of wage shall be made by the industrial statistician of the department of labor and industries.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time period for recovery of any wages owed to a worker affected by the determination is tolled until the prevailing wage determination is final.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573c4710e8942c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b877c4ad94f9d" /><Relationship Type="http://schemas.openxmlformats.org/officeDocument/2006/relationships/footer" Target="/word/footer.xml" Id="Re573c4710e8942c7" /></Relationships>
</file>