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0c66e03af4aa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5517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Rivers, Cleveland, Hobbs, King, Sheldon, Miloscia, Brown, Angel, Warnick, Keiser, and Schoesler</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Any county located to the west of the crest of the Cascade mountains that has both a population of at least four hundred thousand and a border that touches another state, and any city in such county, may include development of freight rail dependent uses on land adjacent to a short line railroad in the transportation element required by RCW 36.70A.070. Such counties and cities may also modify development regulations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40f8bc4a55fe49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9b19c304a451a" /><Relationship Type="http://schemas.openxmlformats.org/officeDocument/2006/relationships/footer" Target="/word/footer.xml" Id="R40f8bc4a55fe4958" /></Relationships>
</file>