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1bea4267074e66" /></Relationships>
</file>

<file path=word/document.xml><?xml version="1.0" encoding="utf-8"?>
<w:document xmlns:w="http://schemas.openxmlformats.org/wordprocessingml/2006/main">
  <w:body>
    <w:p>
      <w:r>
        <w:t>S-1262.2</w:t>
      </w:r>
    </w:p>
    <w:p>
      <w:pPr>
        <w:jc w:val="center"/>
      </w:pPr>
      <w:r>
        <w:t>_______________________________________________</w:t>
      </w:r>
    </w:p>
    <w:p/>
    <w:p>
      <w:pPr>
        <w:jc w:val="center"/>
      </w:pPr>
      <w:r>
        <w:rPr>
          <w:b/>
        </w:rPr>
        <w:t>SUBSTITUTE SENATE BILL 5533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Rossi, Baumgartner, Fortunato, Braun, Brown, Wilson, Becker, Padden, and Angel)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contributions to and independent expenditures for gubernatorial candidates; amending RCW 42.17A.405; reenacting and amending RCW 42.17A.005;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w:t>
      </w:r>
      <w:r>
        <w:rPr>
          <w:u w:val="single"/>
        </w:rPr>
        <w:t xml:space="preserve">(a) "Collective bargaining" means the performance of the mutual obligations of the public employer, including the state of Washington or the governor,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the public employer, except that by such obligation neither party may be compelled to agree to a proposal or be required to make a concession unless otherwise allowed under chapter 41.56, 41.80, 47.64, or 74.39A RCW.</w:t>
      </w:r>
    </w:p>
    <w:p>
      <w:pPr>
        <w:spacing w:before="0" w:after="0" w:line="408" w:lineRule="exact"/>
        <w:ind w:left="0" w:right="0" w:firstLine="576"/>
        <w:jc w:val="left"/>
      </w:pPr>
      <w:r>
        <w:rPr>
          <w:u w:val="single"/>
        </w:rPr>
        <w:t xml:space="preserve">(b) "Collective bargaining" also includes collective bargaining as defined in chapters 41.56, 41.80, 47.64, and 74.39A RCW.</w:t>
      </w:r>
    </w:p>
    <w:p>
      <w:pPr>
        <w:spacing w:before="0" w:after="0" w:line="408" w:lineRule="exact"/>
        <w:ind w:left="0" w:right="0" w:firstLine="576"/>
        <w:jc w:val="left"/>
      </w:pPr>
      <w:r>
        <w:rPr>
          <w:u w:val="single"/>
        </w:rPr>
        <w:t xml:space="preserve">(10)</w:t>
      </w:r>
      <w:r>
        <w:rPr/>
        <w:t xml:space="preserve">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"Final report" means the report described as a final report in RCW 42.17A.235(2).</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"Gift" has the definition in RCW 42.52.010.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special purpose district office if that district is authorized to provide freight and passenger transfer and terminal facilities and that district has over two hundred thousand registered voters;</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special purpose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eight hundred dollars if for a legislative office, county office, school board office, public hospital district office, or city office, or one thousand six hundred dollars if for a special purpose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w:t>
      </w:r>
      <w:r>
        <w:rPr>
          <w:u w:val="single"/>
        </w:rPr>
        <w:t xml:space="preserve">Notwithstanding the other provisions of this section, no entity that engages in collective bargaining with the office of the governor or its representatives may make contributions reportable under this chapter to any candidate for the office of governor, directly or indirectly.</w:t>
      </w:r>
    </w:p>
    <w:p>
      <w:pPr>
        <w:spacing w:before="0" w:after="0" w:line="408" w:lineRule="exact"/>
        <w:ind w:left="0" w:right="0" w:firstLine="576"/>
        <w:jc w:val="left"/>
      </w:pPr>
      <w:r>
        <w:rPr>
          <w:u w:val="single"/>
        </w:rPr>
        <w:t xml:space="preserve">(15) No political committee may make any independent expenditure in support of or in opposition to any candidate for the office of governor or make contributions reportable under this chapter to any candidate for the office of governor, directly or indirectly, unless: (a) The political committee has not accepted contributions from any entity that engages in collective bargaining with the office of the governor or its representative; or (b) the political committee segregated contributions received from any entity that engages in collective bargaining with the office of the governor or its representative and the funds used for independent expenditure or contributions were not from the segregated contributions.</w:t>
      </w:r>
    </w:p>
    <w:p>
      <w:pPr>
        <w:spacing w:before="0" w:after="0" w:line="408" w:lineRule="exact"/>
        <w:ind w:left="0" w:right="0" w:firstLine="576"/>
        <w:jc w:val="left"/>
      </w:pPr>
      <w:r>
        <w:rPr>
          <w:u w:val="single"/>
        </w:rPr>
        <w:t xml:space="preserve">(16)</w:t>
      </w:r>
      <w:r>
        <w:rPr/>
        <w:t xml:space="preserve"> No person may accept contributions that exceed the contribution limitations provided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c1ee94530d5340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0af8f1acec4932" /><Relationship Type="http://schemas.openxmlformats.org/officeDocument/2006/relationships/footer" Target="/word/footer.xml" Id="Rc1ee94530d53406b" /></Relationships>
</file>