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5da4343110433e" /></Relationships>
</file>

<file path=word/document.xml><?xml version="1.0" encoding="utf-8"?>
<w:document xmlns:w="http://schemas.openxmlformats.org/wordprocessingml/2006/main">
  <w:body>
    <w:p>
      <w:r>
        <w:t>Z-0129.2</w:t>
      </w:r>
    </w:p>
    <w:p>
      <w:pPr>
        <w:jc w:val="center"/>
      </w:pPr>
      <w:r>
        <w:t>_______________________________________________</w:t>
      </w:r>
    </w:p>
    <w:p/>
    <w:p>
      <w:pPr>
        <w:jc w:val="center"/>
      </w:pPr>
      <w:r>
        <w:rPr>
          <w:b/>
        </w:rPr>
        <w:t>SENATE BILL 5558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Darneille, O'Ban, and Angel; by request of Department of Corrections</w:t>
      </w:r>
    </w:p>
    <w:p/>
    <w:p>
      <w:r>
        <w:rPr>
          <w:t xml:space="preserve">Read first time 01/27/17.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issuing a two-year identicard for offenders released from prison facilities; amending RCW 46.20.117 and 46.20.117; adding a new section to chapter 72.09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identicard program to assist incarcerated offenders to obtain a state-issued identicard to aid and prepare offenders for release from prison and reentry into the community. The legislature finds that each step that assists individuals being released from prisons helps incarcerated offenders avoid predictable conditions that lead to future recidivism. In accordance with executive order 16-05 building safe and strong communities through successful reentry, this act intends to ensure that offenders released from state prisons have adequate identification in order to increase public safety and reduce recidivism.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working in conjunction with the department of licensing, shall create and implement an identicard program to provide offenders released within Washington state a state-issued identicard pursuant to RCW 46.20.117.</w:t>
      </w:r>
    </w:p>
    <w:p>
      <w:pPr>
        <w:spacing w:before="0" w:after="0" w:line="408" w:lineRule="exact"/>
        <w:ind w:left="0" w:right="0" w:firstLine="576"/>
        <w:jc w:val="left"/>
      </w:pPr>
      <w:r>
        <w:rPr/>
        <w:t xml:space="preserve">(2) An offender is eligible for an original, renewal, or replacement identicard pursuant to this section, provided he or she:</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Is sentenced to the custody of the department, and is incarcerated within a correctional facility with an earned release date that is more than one year from his or her admission date;</w:t>
      </w:r>
    </w:p>
    <w:p>
      <w:pPr>
        <w:spacing w:before="0" w:after="0" w:line="408" w:lineRule="exact"/>
        <w:ind w:left="0" w:right="0" w:firstLine="576"/>
        <w:jc w:val="left"/>
      </w:pPr>
      <w:r>
        <w:rPr/>
        <w:t xml:space="preserve">(c) Has not been found by the United States attorney general to be subject to a deportation detainer or order and does not become subject to a deportation order during the period of incarceration; and</w:t>
      </w:r>
    </w:p>
    <w:p>
      <w:pPr>
        <w:spacing w:before="0" w:after="0" w:line="408" w:lineRule="exact"/>
        <w:ind w:left="0" w:right="0" w:firstLine="576"/>
        <w:jc w:val="left"/>
      </w:pPr>
      <w:r>
        <w:rPr/>
        <w:t xml:space="preserve">(d) Is expected to be released to a location within Washington state.</w:t>
      </w:r>
    </w:p>
    <w:p>
      <w:pPr>
        <w:spacing w:before="0" w:after="0" w:line="408" w:lineRule="exact"/>
        <w:ind w:left="0" w:right="0" w:firstLine="576"/>
        <w:jc w:val="left"/>
      </w:pPr>
      <w:r>
        <w:rPr/>
        <w:t xml:space="preserve">(3) The department may seek reimbursement for the cost of the identicard issued to offenders pursuant to this section. The department may deduct the cost of the identicard from either the offender's mandatory savings account; or from funds that have been received on the offender's behalf specifically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may charge the department of corrections a fee of eighteen dollars for an identicard issued under this subsection (1)(b)</w:t>
      </w:r>
      <w:r>
        <w:rPr/>
        <w:t xml:space="preserve">.</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may charge the department of corrections a fee of eighteen dollars for an identicard issued under this subsection (1)(b)</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and the department of licensing may enter into a memorandum of understanding to meet the requirements of this act, and have discretion to implement this act over a period of time not to exceed twelve months from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August 30, 2017.</w:t>
      </w:r>
    </w:p>
    <w:p/>
    <w:p>
      <w:pPr>
        <w:jc w:val="center"/>
      </w:pPr>
      <w:r>
        <w:rPr>
          <w:b/>
        </w:rPr>
        <w:t>--- END ---</w:t>
      </w:r>
    </w:p>
    <w:sectPr>
      <w:pgNumType w:start="1"/>
      <w:footerReference xmlns:r="http://schemas.openxmlformats.org/officeDocument/2006/relationships" r:id="R525858131e5f45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3237103245422d" /><Relationship Type="http://schemas.openxmlformats.org/officeDocument/2006/relationships/footer" Target="/word/footer.xml" Id="R525858131e5f4556" /></Relationships>
</file>