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cc8dd894044eba" /></Relationships>
</file>

<file path=word/document.xml><?xml version="1.0" encoding="utf-8"?>
<w:document xmlns:w="http://schemas.openxmlformats.org/wordprocessingml/2006/main">
  <w:body>
    <w:p>
      <w:r>
        <w:t>S-3836.4</w:t>
      </w:r>
    </w:p>
    <w:p>
      <w:pPr>
        <w:jc w:val="center"/>
      </w:pPr>
      <w:r>
        <w:t>_______________________________________________</w:t>
      </w:r>
    </w:p>
    <w:p/>
    <w:p>
      <w:pPr>
        <w:jc w:val="center"/>
      </w:pPr>
      <w:r>
        <w:rPr>
          <w:b/>
        </w:rPr>
        <w:t>SUBSTITUTE SENATE BILL 5627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Senators Kuderer, Hunt, Saldaña, and Keiser)</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manufactured/mobile home communities; and amending RCW 82.45.010.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w:t>
      </w:r>
      <w:r>
        <w:t>((</w:t>
      </w:r>
      <w:r>
        <w:rPr>
          <w:strike/>
        </w:rPr>
        <w:t xml:space="preserve">2018</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d229ad1f5ffa4d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7d468e8ea145a8" /><Relationship Type="http://schemas.openxmlformats.org/officeDocument/2006/relationships/footer" Target="/word/footer.xml" Id="Rd229ad1f5ffa4d68" /></Relationships>
</file>