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10c57e9bb466b" /></Relationships>
</file>

<file path=word/document.xml><?xml version="1.0" encoding="utf-8"?>
<w:document xmlns:w="http://schemas.openxmlformats.org/wordprocessingml/2006/main">
  <w:body>
    <w:p>
      <w:r>
        <w:t>S-1787.2</w:t>
      </w:r>
    </w:p>
    <w:p>
      <w:pPr>
        <w:jc w:val="center"/>
      </w:pPr>
      <w:r>
        <w:t>_______________________________________________</w:t>
      </w:r>
    </w:p>
    <w:p/>
    <w:p>
      <w:pPr>
        <w:jc w:val="center"/>
      </w:pPr>
      <w:r>
        <w:rPr>
          <w:b/>
        </w:rPr>
        <w:t>SUBSTITUTE SENATE BILL 5705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Becker, O'Ban, Rivers, Bailey, Miloscia, Schoesler, Warnick, Brown, Zeiger, and Honeyford)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review of state contracted behavioral health and recovery agencies; amending RCW 43.20A.894;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department or the health care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department or the health care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department shall adopt rules establishing the solvency requirements and other financial integrity standards for behavioral health organizations. This subsection does not limit the authority of the department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department.</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department and the health care authority must use common regional service areas. The regional service areas must be established by the department and the health care authority as provided in RCW 43.20A.893.</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department's eligibility criteria for mental health and chemical dependency services.</w:t>
      </w:r>
    </w:p>
    <w:p>
      <w:pPr>
        <w:spacing w:before="0" w:after="0" w:line="408" w:lineRule="exact"/>
        <w:ind w:left="0" w:right="0" w:firstLine="576"/>
        <w:jc w:val="left"/>
      </w:pPr>
      <w:r>
        <w:rPr>
          <w:u w:val="single"/>
        </w:rPr>
        <w:t xml:space="preserve">(6) The state finds that the department should not reduce the number of license violations found by field inspectors for the purpose of allowing agency licensees to avoid liability in a manner that permits the violating agency to stay open at the risk of public safety. Any settlement agreement entered into between the department and behavioral health provider licensees to resolve administrative complaints, license violations, license suspensions, or license revocations may not reduce the number of violations reported by the department unless the department concludes, based on evidence gathered by inspectors, that the agency did not commit one or more of the violations.</w:t>
      </w:r>
    </w:p>
    <w:p>
      <w:pPr>
        <w:spacing w:before="0" w:after="0" w:line="408" w:lineRule="exact"/>
        <w:ind w:left="0" w:right="0" w:firstLine="576"/>
        <w:jc w:val="left"/>
      </w:pPr>
      <w:r>
        <w:rPr>
          <w:u w:val="single"/>
        </w:rPr>
        <w:t xml:space="preserve">(7) The state recognizes the need to prohibit sham transfers of licenses between behavioral health licensees found in violation of the terms of their license agreement and their family members. In cases where an agency in violation of their license attempts to transfer title of the license to a family member, such transfers should be made solely for the purpose of remedying license violations and achieving full compliance with the terms of their license. Transfers to family members should be prohibited in cases where the purpose of the transfer is to avoid liability or reset the number of license violations found before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d600c50858c49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3ec665e5d4ec7" /><Relationship Type="http://schemas.openxmlformats.org/officeDocument/2006/relationships/footer" Target="/word/footer.xml" Id="R3d600c50858c4940" /></Relationships>
</file>