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0e724d61e5419b" /></Relationships>
</file>

<file path=word/document.xml><?xml version="1.0" encoding="utf-8"?>
<w:document xmlns:w="http://schemas.openxmlformats.org/wordprocessingml/2006/main">
  <w:body>
    <w:p>
      <w:r>
        <w:t>S-1272.1</w:t>
      </w:r>
    </w:p>
    <w:p>
      <w:pPr>
        <w:jc w:val="center"/>
      </w:pPr>
      <w:r>
        <w:t>_______________________________________________</w:t>
      </w:r>
    </w:p>
    <w:p/>
    <w:p>
      <w:pPr>
        <w:jc w:val="center"/>
      </w:pPr>
      <w:r>
        <w:rPr>
          <w:b/>
        </w:rPr>
        <w:t>SENATE BILL 5773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Chase</w:t>
      </w:r>
    </w:p>
    <w:p/>
    <w:p>
      <w:r>
        <w:rPr>
          <w:t xml:space="preserve">Read first time 02/09/17.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overpayment of benefits paid to an individual unemployed due to a lockout; amending RCW 50.20.190;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190</w:t>
      </w:r>
      <w:r>
        <w:rPr/>
        <w:t xml:space="preserve"> and 2013 c 189 s 4 are each amended to read as follows:</w:t>
      </w:r>
    </w:p>
    <w:p>
      <w:pPr>
        <w:spacing w:before="0" w:after="0" w:line="408" w:lineRule="exact"/>
        <w:ind w:left="0" w:right="0" w:firstLine="576"/>
        <w:jc w:val="left"/>
      </w:pPr>
      <w:r>
        <w:rPr/>
        <w:t xml:space="preserve">(1) An individual who is paid any amount as benefits under this title to which he or she is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benefit year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or fault attributable to the individual and that the recovery thereof would be against equity and good conscience. When determining whether the recovery would be against equity and good conscience, the department must consider whether the employer or employer's agent failed to respond timely and adequately to a written request of the department for information relating to the claim or claims without establishing good cause for the failure pursuant to RCW 50.29.021(6).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On request of any agency which administers an employment security law of another state, the United States, or a foreign government and which has found in accordance with the provisions of such law that a claimant is liable to repay benefits received under such law, the commissioner may collect the amount of such benefits from the claimant to be refunded to the agency. In any case in which under this section a claimant is liable to repay any amount to the agency of another state, the United States, or a foreign government, such amounts may be collected without interest by civil action in the name of the commissioner acting as agent for such agency if the other state, the United States, or the foreign government extends such collection rights to the employment security department of the state of Washington, and provided that the court costs be paid by the governmental agency benefiting from such collection.</w:t>
      </w:r>
    </w:p>
    <w:p>
      <w:pPr>
        <w:spacing w:before="0" w:after="0" w:line="408" w:lineRule="exact"/>
        <w:ind w:left="0" w:right="0" w:firstLine="576"/>
        <w:jc w:val="left"/>
      </w:pPr>
      <w:r>
        <w:rPr/>
        <w:t xml:space="preserve">(5)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contribution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unemployment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unemployment compensation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taxes due for unemployment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w:t>
      </w:r>
      <w:r>
        <w:rPr>
          <w:u w:val="single"/>
        </w:rPr>
        <w:t xml:space="preserve">(i) Except as provided in (d)(ii) of this subsection, i</w:t>
      </w:r>
      <w:r>
        <w:rPr/>
        <w:t xml:space="preserve">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w:t>
      </w:r>
    </w:p>
    <w:p>
      <w:pPr>
        <w:spacing w:before="0" w:after="0" w:line="408" w:lineRule="exact"/>
        <w:ind w:left="0" w:right="0" w:firstLine="576"/>
        <w:jc w:val="left"/>
      </w:pPr>
      <w:r>
        <w:rPr>
          <w:u w:val="single"/>
        </w:rPr>
        <w:t xml:space="preserve">(ii) If the recipient of the back pay award or settlement due to loss of wages received the award or settlement as the result of a labor dispute regarding a lockout, the department shall notify the employer and assess and collect the amount of any overpayment from the employer;</w:t>
      </w:r>
      <w:r>
        <w:rPr/>
        <w:t xml:space="preserve"> and</w:t>
      </w:r>
    </w:p>
    <w:p>
      <w:pPr>
        <w:spacing w:before="0" w:after="0" w:line="408" w:lineRule="exact"/>
        <w:ind w:left="0" w:right="0" w:firstLine="576"/>
        <w:jc w:val="left"/>
      </w:pPr>
      <w:r>
        <w:rPr/>
        <w:t xml:space="preserve">(e) If the employer fails to pay to the department an amount equal to the reduction as required in (b) of this subsection </w:t>
      </w:r>
      <w:r>
        <w:rPr>
          <w:u w:val="single"/>
        </w:rPr>
        <w:t xml:space="preserve">or the amount assessed in (d)(ii) of this subsection</w:t>
      </w:r>
      <w:r>
        <w:rPr/>
        <w:t xml:space="preserve">, the department shall issue an assessment of liability against the employer which shall be collected pursuant to the procedures for collection of assessments provided herein and in RCW 50.24.110.</w:t>
      </w:r>
    </w:p>
    <w:p>
      <w:pPr>
        <w:spacing w:before="0" w:after="0" w:line="408" w:lineRule="exact"/>
        <w:ind w:left="0" w:right="0" w:firstLine="576"/>
        <w:jc w:val="left"/>
      </w:pPr>
      <w:r>
        <w:rPr/>
        <w:t xml:space="preserve">(6)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RCW 50.20.070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2084c4de18e34c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bf60fecb9c4785" /><Relationship Type="http://schemas.openxmlformats.org/officeDocument/2006/relationships/footer" Target="/word/footer.xml" Id="R2084c4de18e34c43" /></Relationships>
</file>