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9f589d1592478c" /></Relationships>
</file>

<file path=word/document.xml><?xml version="1.0" encoding="utf-8"?>
<w:document xmlns:w="http://schemas.openxmlformats.org/wordprocessingml/2006/main">
  <w:body>
    <w:p>
      <w:r>
        <w:t>S-1347.2</w:t>
      </w:r>
    </w:p>
    <w:p>
      <w:pPr>
        <w:jc w:val="center"/>
      </w:pPr>
      <w:r>
        <w:t>_______________________________________________</w:t>
      </w:r>
    </w:p>
    <w:p/>
    <w:p>
      <w:pPr>
        <w:jc w:val="center"/>
      </w:pPr>
      <w:r>
        <w:rPr>
          <w:b/>
        </w:rPr>
        <w:t>SENATE BILL 5777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Carlyle, Angel, Chase, and Saldaña</w:t>
      </w:r>
    </w:p>
    <w:p/>
    <w:p>
      <w:r>
        <w:rPr>
          <w:t xml:space="preserve">Read first time 02/09/17.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business climate in this state by simplifying the administration of municipal general business licenses; adding a new chapter to Title 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are not already partnering with the department, as follows:</w:t>
      </w:r>
    </w:p>
    <w:p>
      <w:pPr>
        <w:spacing w:before="0" w:after="0" w:line="408" w:lineRule="exact"/>
        <w:ind w:left="0" w:right="0" w:firstLine="576"/>
        <w:jc w:val="left"/>
      </w:pPr>
      <w:r>
        <w:rPr/>
        <w:t xml:space="preserve">(i) Between January 1, 2018, and December 31, 2021, the department must partner with at least six cities per year.</w:t>
      </w:r>
    </w:p>
    <w:p>
      <w:pPr>
        <w:spacing w:before="0" w:after="0" w:line="408" w:lineRule="exact"/>
        <w:ind w:left="0" w:right="0" w:firstLine="576"/>
        <w:jc w:val="left"/>
      </w:pPr>
      <w:r>
        <w:rPr/>
        <w:t xml:space="preserve">(ii) Between January 1, 2022, and December 31, 2027, the department must partner with the remaining cities.</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except as otherwise provided in subsection (7) of this section.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 or</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w:t>
      </w:r>
    </w:p>
    <w:p>
      <w:pPr>
        <w:spacing w:before="0" w:after="0" w:line="408" w:lineRule="exact"/>
        <w:ind w:left="0" w:right="0" w:firstLine="576"/>
        <w:jc w:val="left"/>
      </w:pPr>
      <w:r>
        <w:rPr/>
        <w:t xml:space="preserve">(a) The city participates in the online local business license and tax filing portal known as "FileLocal." For the purposes of this subsection (7)(a), a city is considered to be a FileLocal participant as of the date that a business may access FileLocal for purposes of applying for or renewing that city's general business license and reporting and paying that city's local business and occupation taxes;</w:t>
      </w:r>
    </w:p>
    <w:p>
      <w:pPr>
        <w:spacing w:before="0" w:after="0" w:line="408" w:lineRule="exact"/>
        <w:ind w:left="0" w:right="0" w:firstLine="576"/>
        <w:jc w:val="left"/>
      </w:pPr>
      <w:r>
        <w:rPr/>
        <w:t xml:space="preserve">(b) The city determines that partnering with the department would cause an undue hardship. A city that declines to partner with the department for the issuance and renewal of its general business license as provided in this subsection must provide written notice to the department within sixty days of the date that a city appears on the department's biennial partnering plan as provided in subsection (4) of this section. Such written notice must include an explanation of the nature of the hardship. Hardship may include, but is not limited to, lack of fiscal or technical ability to participate in the partnering process, lack of support from the city legislative authority to become a partner, preference for a local system based on local circumstances or conditions, or other hardships identified by the city; or</w:t>
      </w:r>
    </w:p>
    <w:p>
      <w:pPr>
        <w:spacing w:before="0" w:after="0" w:line="408" w:lineRule="exact"/>
        <w:ind w:left="0" w:right="0" w:firstLine="576"/>
        <w:jc w:val="left"/>
      </w:pPr>
      <w:r>
        <w:rPr/>
        <w:t xml:space="preserve">(c) The city determines that continuing to partner with the department is not practicable. A city that partners with the department for the issuance and renewal of a general business license as provided in subsection (1) of this section may terminate partnering with the department. The city must provide written notice to the department of its reasons for terminating the partnership at least sixty days before termination.</w:t>
      </w:r>
    </w:p>
    <w:p>
      <w:pPr>
        <w:spacing w:before="0" w:after="0" w:line="408" w:lineRule="exact"/>
        <w:ind w:left="0" w:right="0" w:firstLine="576"/>
        <w:jc w:val="left"/>
      </w:pPr>
      <w:r>
        <w:rPr/>
        <w:t xml:space="preserve">(8) By January 1, 2019, and each January 1st thereafter through January 1, 2028, the department must submit a progress report to the governor; legislative fiscal committees; house local government committee; senate agriculture, water, trade and economic development committee; senate local government committee; association of Washington cities; association of Washington business; national federation of independent business; and Washington retail association.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 If a city fails to comply with this subsection (2)(b), it may not enforce its general business licensing requirements on any person until the effective date of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department of revenue.</w:t>
      </w:r>
    </w:p>
    <w:p>
      <w:pPr>
        <w:spacing w:before="0" w:after="0" w:line="408" w:lineRule="exact"/>
        <w:ind w:left="0" w:right="0" w:firstLine="576"/>
        <w:jc w:val="left"/>
      </w:pPr>
      <w:r>
        <w:rPr/>
        <w:t xml:space="preserve">(b) The task force may seek input or collaborate with other parties, as it deems necessary. The department of revenue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a210e3fccafd40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ba21fd596d4ce6" /><Relationship Type="http://schemas.openxmlformats.org/officeDocument/2006/relationships/footer" Target="/word/footer.xml" Id="Ra210e3fccafd408c" /></Relationships>
</file>