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bd3eb0396445e" /></Relationships>
</file>

<file path=word/document.xml><?xml version="1.0" encoding="utf-8"?>
<w:document xmlns:w="http://schemas.openxmlformats.org/wordprocessingml/2006/main">
  <w:body>
    <w:p>
      <w:r>
        <w:t>S-1290.1</w:t>
      </w:r>
    </w:p>
    <w:p>
      <w:pPr>
        <w:jc w:val="center"/>
      </w:pPr>
      <w:r>
        <w:t>_______________________________________________</w:t>
      </w:r>
    </w:p>
    <w:p/>
    <w:p>
      <w:pPr>
        <w:jc w:val="center"/>
      </w:pPr>
      <w:r>
        <w:rPr>
          <w:b/>
        </w:rPr>
        <w:t>SENATE BILL 5780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Walsh, Rolfes, Rivers, Saldaña, Angel, Wellman, Brown, Chase, Wilson, Cleveland, Keiser, Warnick, Short, Kuderer, Becker, Ranker, Bailey, Conway, and Hunt</w:t>
      </w:r>
    </w:p>
    <w:p/>
    <w:p>
      <w:r>
        <w:rPr>
          <w:t xml:space="preserve">Read first time 02/09/17.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commemorating the centennial of national women's suffrage; adding a new chapter to Title 27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26, 1920, with the action of the Tennessee legislature, the Nineteenth Amendment to the United States Constitution was ratified, guaranteeing women throughout the country the right to vote. 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legislative body. This spurred the creation of many women's right to vote associations in Washington and in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Mae Arkwright Hutton.</w:t>
      </w:r>
    </w:p>
    <w:p>
      <w:pPr>
        <w:spacing w:before="0" w:after="0" w:line="408" w:lineRule="exact"/>
        <w:ind w:left="0" w:right="0" w:firstLine="576"/>
        <w:jc w:val="left"/>
      </w:pPr>
      <w:r>
        <w:rPr/>
        <w:t xml:space="preserve">The path to women's suffrage was blazed by western states. Washington followed Wyoming (1890), Colorado (1893), Utah (1895), and Idaho (1896), and was immediately succeeded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activities, including preparation of a major traveling exhibit.</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about the importance of voting and civic engagement, the historic efforts of the women's right to vote movement in Washington and throughout the country, and the subsequent impacts of enfranchising women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in 2020 of the centennial of the Nineteenth Amendment to the United States Constitution, which established the right to vote for women throughout the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women's history consortium shall:</w:t>
      </w:r>
    </w:p>
    <w:p>
      <w:pPr>
        <w:spacing w:before="0" w:after="0" w:line="408" w:lineRule="exact"/>
        <w:ind w:left="0" w:right="0" w:firstLine="576"/>
        <w:jc w:val="left"/>
      </w:pPr>
      <w:r>
        <w:rPr/>
        <w:t xml:space="preserve">(1) Provide leadership for a 2020 statewide commemoration of the centennial of the ratification of the Nineteenth Amendment to the United States Constitution;</w:t>
      </w:r>
    </w:p>
    <w:p>
      <w:pPr>
        <w:spacing w:before="0" w:after="0" w:line="408" w:lineRule="exact"/>
        <w:ind w:left="0" w:right="0" w:firstLine="576"/>
        <w:jc w:val="left"/>
      </w:pPr>
      <w:r>
        <w:rPr/>
        <w:t xml:space="preserve">(2) Immediately begin preparations for this statewide commemoration, to include but not be limited to:</w:t>
      </w:r>
    </w:p>
    <w:p>
      <w:pPr>
        <w:spacing w:before="0" w:after="0" w:line="408" w:lineRule="exact"/>
        <w:ind w:left="0" w:right="0" w:firstLine="576"/>
        <w:jc w:val="left"/>
      </w:pPr>
      <w:r>
        <w:rPr/>
        <w:t xml:space="preserve">(a) Consulting with a wide variety of organizations, institutions, public agencies, and the general public about the content and conduct of this statewide commemoration;</w:t>
      </w:r>
    </w:p>
    <w:p>
      <w:pPr>
        <w:spacing w:before="0" w:after="0" w:line="408" w:lineRule="exact"/>
        <w:ind w:left="0" w:right="0" w:firstLine="576"/>
        <w:jc w:val="left"/>
      </w:pPr>
      <w:r>
        <w:rPr/>
        <w:t xml:space="preserve">(b) Developing and encouraging others to develop educational opportunities for the public to learn about the active leadership role of Washingtonians in achieving the nationwide right to vote for women;</w:t>
      </w:r>
    </w:p>
    <w:p>
      <w:pPr>
        <w:spacing w:before="0" w:after="0" w:line="408" w:lineRule="exact"/>
        <w:ind w:left="0" w:right="0" w:firstLine="576"/>
        <w:jc w:val="left"/>
      </w:pPr>
      <w:r>
        <w:rPr/>
        <w:t xml:space="preserve">(c) Developing and encouraging educational opportunities about the importance of voting in the context of women gaining the right to vote;</w:t>
      </w:r>
    </w:p>
    <w:p>
      <w:pPr>
        <w:spacing w:before="0" w:after="0" w:line="408" w:lineRule="exact"/>
        <w:ind w:left="0" w:right="0" w:firstLine="576"/>
        <w:jc w:val="left"/>
      </w:pPr>
      <w:r>
        <w:rPr/>
        <w:t xml:space="preserve">(d) Developing and encouraging educational opportunities about the subsequent long-term impacts of women gaining the right to vote; and</w:t>
      </w:r>
    </w:p>
    <w:p>
      <w:pPr>
        <w:spacing w:before="0" w:after="0" w:line="408" w:lineRule="exact"/>
        <w:ind w:left="0" w:right="0" w:firstLine="576"/>
        <w:jc w:val="left"/>
      </w:pPr>
      <w:r>
        <w:rPr/>
        <w:t xml:space="preserve">(e) Planning, coordinating, and publicizing events and informational materials throughout the state commemorating this centennial;</w:t>
      </w:r>
    </w:p>
    <w:p>
      <w:pPr>
        <w:spacing w:before="0" w:after="0" w:line="408" w:lineRule="exact"/>
        <w:ind w:left="0" w:right="0" w:firstLine="576"/>
        <w:jc w:val="left"/>
      </w:pPr>
      <w:r>
        <w:rPr/>
        <w:t xml:space="preserve">(3) Create and distribute a portfolio of public humanities programs, and encourage others to also do this, to engage the citizens of Washington with important aspects of the women's right to vote movement;</w:t>
      </w:r>
    </w:p>
    <w:p>
      <w:pPr>
        <w:spacing w:before="0" w:after="0" w:line="408" w:lineRule="exact"/>
        <w:ind w:left="0" w:right="0" w:firstLine="576"/>
        <w:jc w:val="left"/>
      </w:pPr>
      <w:r>
        <w:rPr/>
        <w:t xml:space="preserve">(4) Encourage private organizations and local governments to organize and participate in activities commemorating the centennial of the Nineteenth Amendment to the United States Constitution; and</w:t>
      </w:r>
    </w:p>
    <w:p>
      <w:pPr>
        <w:spacing w:before="0" w:after="0" w:line="408" w:lineRule="exact"/>
        <w:ind w:left="0" w:right="0" w:firstLine="576"/>
        <w:jc w:val="left"/>
      </w:pPr>
      <w:r>
        <w:rPr/>
        <w:t xml:space="preserve">(5) Administer a grant program for public agencies, educational institutions, and organizations exempt from taxation under Title 26 U.S.C. Sec. 501(c)(3) of the federal internal revenue code to assist with their commemoration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consortium has the following powers, and may exercise them as necessary to carry out its duties:</w:t>
      </w:r>
    </w:p>
    <w:p>
      <w:pPr>
        <w:spacing w:before="0" w:after="0" w:line="408" w:lineRule="exact"/>
        <w:ind w:left="0" w:right="0" w:firstLine="576"/>
        <w:jc w:val="left"/>
      </w:pPr>
      <w:r>
        <w:rPr/>
        <w:t xml:space="preserve">(1) To appoint task forces or advisory committees;</w:t>
      </w:r>
    </w:p>
    <w:p>
      <w:pPr>
        <w:spacing w:before="0" w:after="0" w:line="408" w:lineRule="exact"/>
        <w:ind w:left="0" w:right="0" w:firstLine="576"/>
        <w:jc w:val="left"/>
      </w:pPr>
      <w:r>
        <w:rPr/>
        <w:t xml:space="preserve">(2) To work with staff appointed by the Washington state historical society;</w:t>
      </w:r>
    </w:p>
    <w:p>
      <w:pPr>
        <w:spacing w:before="0" w:after="0" w:line="408" w:lineRule="exact"/>
        <w:ind w:left="0" w:right="0" w:firstLine="576"/>
        <w:jc w:val="left"/>
      </w:pPr>
      <w:r>
        <w:rPr/>
        <w:t xml:space="preserve">(3) To enter into agreements or contracts; and</w:t>
      </w:r>
    </w:p>
    <w:p>
      <w:pPr>
        <w:spacing w:before="0" w:after="0" w:line="408" w:lineRule="exact"/>
        <w:ind w:left="0" w:right="0" w:firstLine="576"/>
        <w:jc w:val="left"/>
      </w:pPr>
      <w:r>
        <w:rPr/>
        <w:t xml:space="preserve">(4) To solicit, accept, use, and dispose of grants and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Legislative members serving on the consortium or any task forces or advisory committees created must be reimbursed for travel expenses in accordance with RCW 44.04.120.</w:t>
      </w:r>
    </w:p>
    <w:p>
      <w:pPr>
        <w:spacing w:before="0" w:after="0" w:line="408" w:lineRule="exact"/>
        <w:ind w:left="0" w:right="0" w:firstLine="576"/>
        <w:jc w:val="left"/>
      </w:pPr>
      <w:r>
        <w:rPr/>
        <w:t xml:space="preserve">(2) State and local government agency members must be reimbursed pursuant to the reimbursement policies of their respective agency or institution.</w:t>
      </w:r>
    </w:p>
    <w:p>
      <w:pPr>
        <w:spacing w:before="0" w:after="0" w:line="408" w:lineRule="exact"/>
        <w:ind w:left="0" w:right="0" w:firstLine="576"/>
        <w:jc w:val="left"/>
      </w:pPr>
      <w:r>
        <w:rPr/>
        <w:t xml:space="preserve">(3)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consortium shall report annually by December 1st to the governor and the legislature on the work of the consortium, together with any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27</w:t>
      </w:r>
      <w:r>
        <w:rPr/>
        <w:t xml:space="preserve"> RCW</w:t>
      </w:r>
      <w:r>
        <w:rPr/>
        <w:t xml:space="preserve">.</w:t>
      </w:r>
    </w:p>
    <w:p/>
    <w:p>
      <w:pPr>
        <w:jc w:val="center"/>
      </w:pPr>
      <w:r>
        <w:rPr>
          <w:b/>
        </w:rPr>
        <w:t>--- END ---</w:t>
      </w:r>
    </w:p>
    <w:sectPr>
      <w:pgNumType w:start="1"/>
      <w:footerReference xmlns:r="http://schemas.openxmlformats.org/officeDocument/2006/relationships" r:id="Rb9a2336b92714a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4cf3888734298" /><Relationship Type="http://schemas.openxmlformats.org/officeDocument/2006/relationships/footer" Target="/word/footer.xml" Id="Rb9a2336b92714ae7" /></Relationships>
</file>