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4171f4a99147e1" /></Relationships>
</file>

<file path=word/document.xml><?xml version="1.0" encoding="utf-8"?>
<w:document xmlns:w="http://schemas.openxmlformats.org/wordprocessingml/2006/main">
  <w:body>
    <w:p>
      <w:r>
        <w:t>S-1643.2</w:t>
      </w:r>
    </w:p>
    <w:p>
      <w:pPr>
        <w:jc w:val="center"/>
      </w:pPr>
      <w:r>
        <w:t>_______________________________________________</w:t>
      </w:r>
    </w:p>
    <w:p/>
    <w:p>
      <w:pPr>
        <w:jc w:val="center"/>
      </w:pPr>
      <w:r>
        <w:rPr>
          <w:b/>
        </w:rPr>
        <w:t>SENATE BILL 5847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Hasegawa, and Hunt</w:t>
      </w:r>
    </w:p>
    <w:p/>
    <w:p>
      <w:r>
        <w:rPr>
          <w:t xml:space="preserve">Read first time 02/22/17.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process of the citizen commission for performance measurement of tax preferences; and amending RCW 43.136.011, 43.136.055, and 82.32.808.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011</w:t>
      </w:r>
      <w:r>
        <w:rPr/>
        <w:t xml:space="preserve"> and 2011 c 335 s 1 are each amended to read as follows:</w:t>
      </w:r>
    </w:p>
    <w:p>
      <w:pPr>
        <w:spacing w:before="0" w:after="0" w:line="408" w:lineRule="exact"/>
        <w:ind w:left="0" w:right="0" w:firstLine="576"/>
        <w:jc w:val="left"/>
      </w:pPr>
      <w:r>
        <w:rPr/>
        <w:t xml:space="preserve">The legislature recognizes that tax preferences are enacted to meet objectives which are determined to be in the public interest. However, some tax preferences may not be efficient or equitable tools for the achievement of current public policy objectives. Given the changing nature of the economy and tax structures of other states, the legislature finds that periodic performance audits of tax preferences are needed to determine if their continued existence will serve the public interest. The legislature further finds that tax preferences that are enacted for economic development purposes must demonstrate growth in </w:t>
      </w:r>
      <w:r>
        <w:rPr>
          <w:u w:val="single"/>
        </w:rPr>
        <w:t xml:space="preserve">personal income and</w:t>
      </w:r>
      <w:r>
        <w:rPr/>
        <w:t xml:space="preserve"> full-time family-wage jobs with health and retirement benefits. Given that an opportunity cost exists with each economic choice, it is the intent of the legislature </w:t>
      </w:r>
      <w:r>
        <w:t>((</w:t>
      </w:r>
      <w:r>
        <w:rPr>
          <w:strike/>
        </w:rPr>
        <w:t xml:space="preserve">that the overall impact of</w:t>
      </w:r>
      <w:r>
        <w:t>))</w:t>
      </w:r>
      <w:r>
        <w:rPr/>
        <w:t xml:space="preserve"> </w:t>
      </w:r>
      <w:r>
        <w:rPr>
          <w:u w:val="single"/>
        </w:rPr>
        <w:t xml:space="preserve">to understand how</w:t>
      </w:r>
      <w:r>
        <w:rPr/>
        <w:t xml:space="preserve"> economic development-focused tax preferences benefit the state's economy</w:t>
      </w:r>
      <w:r>
        <w:rPr>
          <w:u w:val="single"/>
        </w:rPr>
        <w:t xml:space="preserve">, both statewide and regions within the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preferences according to the schedule developed under RCW 43.136.045. The committee must consider, but not be limited to, the following factors in the review as relevant to each particular tax preference:</w:t>
      </w:r>
    </w:p>
    <w:p>
      <w:pPr>
        <w:spacing w:before="0" w:after="0" w:line="408" w:lineRule="exact"/>
        <w:ind w:left="0" w:right="0" w:firstLine="576"/>
        <w:jc w:val="left"/>
      </w:pPr>
      <w:r>
        <w:rPr/>
        <w:t xml:space="preserve">(a) The classes of individuals, types of organizations, or types of industries whose state tax liabilities are directly affected by the tax preference;</w:t>
      </w:r>
    </w:p>
    <w:p>
      <w:pPr>
        <w:spacing w:before="0" w:after="0" w:line="408" w:lineRule="exact"/>
        <w:ind w:left="0" w:right="0" w:firstLine="576"/>
        <w:jc w:val="left"/>
      </w:pPr>
      <w:r>
        <w:rPr/>
        <w:t xml:space="preserve">(b) </w:t>
      </w:r>
      <w:r>
        <w:rPr>
          <w:u w:val="single"/>
        </w:rPr>
        <w:t xml:space="preserve">The overall effective tax rate for the industry groups benefiting from the tax preference;</w:t>
      </w:r>
    </w:p>
    <w:p>
      <w:pPr>
        <w:spacing w:before="0" w:after="0" w:line="408" w:lineRule="exact"/>
        <w:ind w:left="0" w:right="0" w:firstLine="576"/>
        <w:jc w:val="left"/>
      </w:pPr>
      <w:r>
        <w:rPr>
          <w:u w:val="single"/>
        </w:rPr>
        <w:t xml:space="preserve">(c)</w:t>
      </w:r>
      <w:r>
        <w:rPr/>
        <w:t xml:space="preserve">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Evidence that the existence of the tax preference has contributed to the achievement of any of the public policy objectives;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extent to which continuation of the tax preference might contribute to any of the public policy objectives;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extent to which the tax preference may provide unintended benefits to an individual, organization, or industry other than those the legislature intended;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Fiscal impacts of the tax preference, including past impacts and expected future impacts if it is continued. For the purposes of this subsection, "fiscal impact" includes an analysis of the general effects of the tax preference on the overall state economy</w:t>
      </w:r>
      <w:r>
        <w:t>((</w:t>
      </w:r>
      <w:r>
        <w:rPr>
          <w:strike/>
        </w:rPr>
        <w:t xml:space="preserve">, including, but not limited to, the effects of the tax preference on the consumption and expenditures of persons and businesses within the state;</w:t>
      </w:r>
    </w:p>
    <w:p>
      <w:pPr>
        <w:spacing w:before="0" w:after="0" w:line="408" w:lineRule="exact"/>
        <w:ind w:left="0" w:right="0" w:firstLine="576"/>
        <w:jc w:val="left"/>
      </w:pPr>
      <w:r>
        <w:rPr>
          <w:strike/>
        </w:rPr>
        <w:t xml:space="preserve">(i) The extent to which termination of the tax preference would affect the distribution of liability for payment of state taxes;</w:t>
      </w:r>
    </w:p>
    <w:p>
      <w:pPr>
        <w:spacing w:before="0" w:after="0" w:line="408" w:lineRule="exact"/>
        <w:ind w:left="0" w:right="0" w:firstLine="576"/>
        <w:jc w:val="left"/>
      </w:pPr>
      <w:r>
        <w:rPr>
          <w:strike/>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r>
        <w:t>))</w:t>
      </w:r>
      <w:r>
        <w:rPr/>
        <w:t xml:space="preserve"> </w:t>
      </w:r>
      <w:r>
        <w:rPr>
          <w:u w:val="single"/>
        </w:rPr>
        <w:t xml:space="preserve">and regions within the state including, but not limited to, the effects of the tax preference on the consumption and expenditures of persons and businesses within the state, employment, and personal income;</w:t>
      </w:r>
    </w:p>
    <w:p>
      <w:pPr>
        <w:spacing w:before="0" w:after="0" w:line="408" w:lineRule="exact"/>
        <w:ind w:left="0" w:right="0" w:firstLine="576"/>
        <w:jc w:val="left"/>
      </w:pPr>
      <w:r>
        <w:rPr>
          <w:u w:val="single"/>
        </w:rPr>
        <w:t xml:space="preserve">(j) The extent to which termination of the tax preference would affect the distribution of liability for payment of state taxes;</w:t>
      </w:r>
    </w:p>
    <w:p>
      <w:pPr>
        <w:spacing w:before="0" w:after="0" w:line="408" w:lineRule="exact"/>
        <w:ind w:left="0" w:right="0" w:firstLine="576"/>
        <w:jc w:val="left"/>
      </w:pPr>
      <w:r>
        <w:rPr>
          <w:u w:val="single"/>
        </w:rPr>
        <w:t xml:space="preserve">(k) Using economic modeling techniques, evaluate potential economic impacts of the tax preference compared to the economic impact of government activities funded at the same level as the preference</w:t>
      </w:r>
      <w:r>
        <w:rPr/>
        <w:t xml:space="preserv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w:t>
      </w:r>
      <w:r>
        <w:rPr>
          <w:u w:val="single"/>
        </w:rPr>
        <w:t xml:space="preserve">to increase or maintain personal income, and</w:t>
      </w:r>
      <w:r>
        <w:rPr/>
        <w:t xml:space="preserve">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survey in accordance with RCW 82.32.585.</w:t>
      </w:r>
    </w:p>
    <w:p>
      <w:pPr>
        <w:spacing w:before="0" w:after="0" w:line="408" w:lineRule="exact"/>
        <w:ind w:left="0" w:right="0" w:firstLine="576"/>
        <w:jc w:val="left"/>
      </w:pPr>
      <w:r>
        <w:rPr/>
        <w:t xml:space="preserve">(6)(a) </w:t>
      </w:r>
      <w:r>
        <w:t>((</w:t>
      </w:r>
      <w:r>
        <w:rPr>
          <w:strike/>
        </w:rPr>
        <w:t xml:space="preserve">Taxpayers claiming a new tax preference must report the amount of the tax preference claimed by the taxpayer</w:t>
      </w:r>
      <w:r>
        <w:t>))</w:t>
      </w:r>
      <w:r>
        <w:rPr/>
        <w:t xml:space="preserve"> </w:t>
      </w:r>
      <w:r>
        <w:rPr>
          <w:u w:val="single"/>
        </w:rPr>
        <w:t xml:space="preserve">In order to be eligible to claim a new tax preference, the taxpayer must report the amount of the tax preference</w:t>
      </w:r>
      <w:r>
        <w:rPr/>
        <w:t xml:space="preserve">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sales or uses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report, or survey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82.32.585 apply to any tax preference that requires a survey.</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
      <w:pPr>
        <w:jc w:val="center"/>
      </w:pPr>
      <w:r>
        <w:rPr>
          <w:b/>
        </w:rPr>
        <w:t>--- END ---</w:t>
      </w:r>
    </w:p>
    <w:sectPr>
      <w:pgNumType w:start="1"/>
      <w:footerReference xmlns:r="http://schemas.openxmlformats.org/officeDocument/2006/relationships" r:id="R531df1eeace847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0072f6cba4428" /><Relationship Type="http://schemas.openxmlformats.org/officeDocument/2006/relationships/footer" Target="/word/footer.xml" Id="R531df1eeace8475f" /></Relationships>
</file>