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ee9cd2f854b35" /></Relationships>
</file>

<file path=word/document.xml><?xml version="1.0" encoding="utf-8"?>
<w:document xmlns:w="http://schemas.openxmlformats.org/wordprocessingml/2006/main">
  <w:body>
    <w:p>
      <w:r>
        <w:t>S-2151.2</w:t>
      </w:r>
    </w:p>
    <w:p>
      <w:pPr>
        <w:jc w:val="center"/>
      </w:pPr>
      <w:r>
        <w:t>_______________________________________________</w:t>
      </w:r>
    </w:p>
    <w:p/>
    <w:p>
      <w:pPr>
        <w:jc w:val="center"/>
      </w:pPr>
      <w:r>
        <w:rPr>
          <w:b/>
        </w:rPr>
        <w:t>SENATE BILL 5893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Rossi, Becker, Rivers, Miloscia, King, Bailey, Braun, Wilson, Walsh, Zeiger, Angel, Warnick, Brown, Honeyford, Fortunato, Pearson, Padden, Fain, Schoesler, and Hawkins</w:t>
      </w:r>
    </w:p>
    <w:p/>
    <w:p>
      <w:r>
        <w:rPr>
          <w:t xml:space="preserve">Read first time 03/17/17.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motor vehicle excise taxes by regional transit authorities; amending RCW 82.44.135, 81.104.160, 82.44.035, and 81.104.190;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the tax is based solely on the vehicle valuation method identified in RCW 81.104.160(1)(a)(ii).</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3a60ccc31d4f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408d9a89a4f3d" /><Relationship Type="http://schemas.openxmlformats.org/officeDocument/2006/relationships/footer" Target="/word/footer.xml" Id="Rfb3a60ccc31d4f2a" /></Relationships>
</file>