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a84a404ac324442" /></Relationships>
</file>

<file path=word/document.xml><?xml version="1.0" encoding="utf-8"?>
<w:document xmlns:w="http://schemas.openxmlformats.org/wordprocessingml/2006/main">
  <w:body>
    <w:p>
      <w:r>
        <w:t>S-2730.1</w:t>
      </w:r>
    </w:p>
    <w:p>
      <w:pPr>
        <w:jc w:val="center"/>
      </w:pPr>
      <w:r>
        <w:t>_______________________________________________</w:t>
      </w:r>
    </w:p>
    <w:p/>
    <w:p>
      <w:pPr>
        <w:jc w:val="center"/>
      </w:pPr>
      <w:r>
        <w:rPr>
          <w:b/>
        </w:rPr>
        <w:t>SENATE BILL 5928</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Rivers, Palumbo, and Hasegawa</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making financial services available to marijuana producers, processors, retailers, qualifying patients, health care professionals, and designated providers as authorized under chapters 69.50 and 69.51A RCW; and adding a new section to chapter 9.01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(1) A financial institution, as defined in RCW 30A.22.040, that receives deposits, extends credit, conducts funds transfers, or provides other financial services for a marijuana producer, marijuana processor, or marijuana retailer authorized under chapter 69.50 RCW or for a qualifying patient, health care professional, or designated provider authorized under chapter 69.51A RCW, does not commit a crime solely by virtue of receiving deposits, extending credit, conducting funds transfers, or providing other financial services for the person.</w:t>
      </w:r>
    </w:p>
    <w:p>
      <w:pPr>
        <w:spacing w:before="0" w:after="0" w:line="408" w:lineRule="exact"/>
        <w:ind w:left="0" w:right="0" w:firstLine="576"/>
        <w:jc w:val="left"/>
      </w:pPr>
      <w:r>
        <w:rPr/>
        <w:t xml:space="preserve">(2) Evidence of the provision of deposit, credit, funds transfer, or other financial service as described in subsection (1) of this section may not be used as evidence in any Washington state court to prove any element of a crime alleged to have been committed by the financial institution.</w:t>
      </w:r>
    </w:p>
    <w:p/>
    <w:p>
      <w:pPr>
        <w:jc w:val="center"/>
      </w:pPr>
      <w:r>
        <w:rPr>
          <w:b/>
        </w:rPr>
        <w:t>--- END ---</w:t>
      </w:r>
    </w:p>
    <w:sectPr>
      <w:pgNumType w:start="1"/>
      <w:footerReference xmlns:r="http://schemas.openxmlformats.org/officeDocument/2006/relationships" r:id="R94720bb96be845d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5928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b59615b7f384950" /><Relationship Type="http://schemas.openxmlformats.org/officeDocument/2006/relationships/footer" Target="/word/footer.xml" Id="R94720bb96be845d5" /></Relationships>
</file>