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06676f4a5a4ebb" /></Relationships>
</file>

<file path=word/document.xml><?xml version="1.0" encoding="utf-8"?>
<w:document xmlns:w="http://schemas.openxmlformats.org/wordprocessingml/2006/main">
  <w:body>
    <w:p>
      <w:r>
        <w:t>S-2844.1</w:t>
      </w:r>
    </w:p>
    <w:p>
      <w:pPr>
        <w:jc w:val="center"/>
      </w:pPr>
      <w:r>
        <w:t>_______________________________________________</w:t>
      </w:r>
    </w:p>
    <w:p/>
    <w:p>
      <w:pPr>
        <w:jc w:val="center"/>
      </w:pPr>
      <w:r>
        <w:rPr>
          <w:b/>
        </w:rPr>
        <w:t>SENATE BILL 5949</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Chase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school testing and high school graduation requirements; and amending RCW 28A.195.010 and 28A.655.061.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w:t>
      </w:r>
      <w:r>
        <w:t>((</w:t>
      </w:r>
      <w:r>
        <w:rPr>
          <w:strike/>
        </w:rPr>
        <w:t xml:space="preserve">insure</w:t>
      </w:r>
      <w:r>
        <w:t>))</w:t>
      </w:r>
      <w:r>
        <w:rPr/>
        <w:t xml:space="preserve"> </w:t>
      </w:r>
      <w:r>
        <w:rPr>
          <w:u w:val="single"/>
        </w:rPr>
        <w:t xml:space="preserve">ensure</w:t>
      </w:r>
      <w:r>
        <w:rPr/>
        <w:t xml:space="preserve"> the health and safety of all the students in the state</w:t>
      </w:r>
      <w:r>
        <w:rPr>
          <w:u w:val="single"/>
        </w:rPr>
        <w:t xml:space="preserve">, ensure that the schools are accountable for measurable student achievement,</w:t>
      </w:r>
      <w:r>
        <w:rPr/>
        <w:t xml:space="preserve"> and to </w:t>
      </w:r>
      <w:r>
        <w:t>((</w:t>
      </w:r>
      <w:r>
        <w:rPr>
          <w:strike/>
        </w:rPr>
        <w:t xml:space="preserve">insure</w:t>
      </w:r>
      <w:r>
        <w:t>))</w:t>
      </w:r>
      <w:r>
        <w:rPr/>
        <w:t xml:space="preserve"> </w:t>
      </w:r>
      <w:r>
        <w:rPr>
          <w:u w:val="single"/>
        </w:rPr>
        <w:t xml:space="preserve">ensure</w:t>
      </w:r>
      <w:r>
        <w:rPr/>
        <w:t xml:space="preserv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w:t>
      </w:r>
      <w:r>
        <w:t>((</w:t>
      </w:r>
      <w:r>
        <w:rPr>
          <w:strike/>
        </w:rPr>
        <w:t xml:space="preserve">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u w:val="single"/>
        </w:rPr>
        <w:t xml:space="preserve">(9) All students must be assessed pursuant to RCW 28A.655.061 and required to earn a certificate of academic achievement, or a certificate of individual achievement pursuant to RCW 28A.155.045 to graduate from high school.</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w:t>
      </w:r>
      <w:r>
        <w:t>((</w:t>
      </w:r>
      <w:r>
        <w:rPr>
          <w:strike/>
        </w:rPr>
        <w:t xml:space="preserve">, for students enrolled in private schools under chapter 28A.195 RCW,</w:t>
      </w:r>
      <w:r>
        <w:t>))</w:t>
      </w:r>
      <w:r>
        <w:rPr/>
        <w:t xml:space="preserve">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
      <w:pPr>
        <w:jc w:val="center"/>
      </w:pPr>
      <w:r>
        <w:rPr>
          <w:b/>
        </w:rPr>
        <w:t>--- END ---</w:t>
      </w:r>
    </w:p>
    <w:sectPr>
      <w:pgNumType w:start="1"/>
      <w:footerReference xmlns:r="http://schemas.openxmlformats.org/officeDocument/2006/relationships" r:id="R38cae02985044a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d4aefdafb4168" /><Relationship Type="http://schemas.openxmlformats.org/officeDocument/2006/relationships/footer" Target="/word/footer.xml" Id="R38cae02985044a57" /></Relationships>
</file>