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c7d90bce5d4310" /></Relationships>
</file>

<file path=word/document.xml><?xml version="1.0" encoding="utf-8"?>
<w:document xmlns:w="http://schemas.openxmlformats.org/wordprocessingml/2006/main">
  <w:body>
    <w:p>
      <w:r>
        <w:t>S-4897.1</w:t>
      </w:r>
    </w:p>
    <w:p>
      <w:pPr>
        <w:jc w:val="center"/>
      </w:pPr>
      <w:r>
        <w:t>_______________________________________________</w:t>
      </w:r>
    </w:p>
    <w:p/>
    <w:p>
      <w:pPr>
        <w:jc w:val="center"/>
      </w:pPr>
      <w:r>
        <w:rPr>
          <w:b/>
        </w:rPr>
        <w:t>SUBSTITUTE SENATE BILL 5993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Keiser, Saldaña, Kuderer, Conway, Chase, Van De Wege, Hunt, Hasegawa, Pedersen, Frockt, Palumbo, Liias, Darneille, Wellman, Nelson, Hobbs, McCoy, Miloscia, Takko, Rolfes, Mullet, Billig, and Dhingra)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amending RCW 28B.52.035 and 28B.50.140;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provide important access to continuing education, preparation for a university, and workforce training that improve the quality of life and economic vitality of the state. The legislature further finds that a funding gap was created in the 2017-2019 biennium between the amount of state general fund and the amount that was assumed to come from tuition increases. Therefore the legislature intends to fill the gap created in the 2017-2019 biennium and to fund salary and benefit increases with sixty-six percent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t xml:space="preserve">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w:t>
      </w:r>
      <w:r>
        <w:t>((</w:t>
      </w:r>
      <w:r>
        <w:rPr>
          <w:strike/>
        </w:rPr>
        <w:t xml:space="preserve">for increments provided with local resources during the 2015-2017 fiscal biennium</w:t>
      </w:r>
      <w:r>
        <w:t>))</w:t>
      </w:r>
      <w:r>
        <w:rPr/>
        <w:t xml:space="preserve"> </w:t>
      </w:r>
      <w:r>
        <w:rPr>
          <w:u w:val="single"/>
        </w:rPr>
        <w:t xml:space="preserve">as provided for academic employees under RCW 28B.52.035 and technical college classified employees under chapter 41.56 RCW</w:t>
      </w:r>
      <w:r>
        <w:rPr/>
        <w:t xml:space="preserve">,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c06cad703c0342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8d1c4f0b694275" /><Relationship Type="http://schemas.openxmlformats.org/officeDocument/2006/relationships/footer" Target="/word/footer.xml" Id="Rc06cad703c034225" /></Relationships>
</file>