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a277642454a8e" /></Relationships>
</file>

<file path=word/document.xml><?xml version="1.0" encoding="utf-8"?>
<w:document xmlns:w="http://schemas.openxmlformats.org/wordprocessingml/2006/main">
  <w:body>
    <w:p>
      <w:r>
        <w:t>Z-0683.2</w:t>
      </w:r>
    </w:p>
    <w:p>
      <w:pPr>
        <w:jc w:val="center"/>
      </w:pPr>
      <w:r>
        <w:t>_______________________________________________</w:t>
      </w:r>
    </w:p>
    <w:p/>
    <w:p>
      <w:pPr>
        <w:jc w:val="center"/>
      </w:pPr>
      <w:r>
        <w:rPr>
          <w:b/>
        </w:rPr>
        <w:t>SENATE BILL 6029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Ranker, Fain, Frockt, Billig, Darneille, Palumbo, Rolfes, Keiser, Cleveland, Pedersen, Hunt, Wellman, Conway, Chase, Saldaña, Kuderer, Hasegawa, and Mullet; by request of Attorney General</w:t>
      </w:r>
    </w:p>
    <w:p/>
    <w:p>
      <w:r>
        <w:rPr>
          <w:t xml:space="preserve">Prefiled 12/15/17.</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creating new sections; and providing a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account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impact and cost-effectiveness of establishing a student loan authority to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of state-operated loan refinance programs in other states;</w:t>
      </w:r>
    </w:p>
    <w:p>
      <w:pPr>
        <w:spacing w:before="0" w:after="0" w:line="408" w:lineRule="exact"/>
        <w:ind w:left="0" w:right="0" w:firstLine="576"/>
        <w:jc w:val="left"/>
      </w:pPr>
      <w:r>
        <w:rPr/>
        <w:t xml:space="preserve">(c) Analyze the categories of borrowers who have received the benefit of state-operated loan refinance programs in other states, including by income quintile, as available;</w:t>
      </w:r>
    </w:p>
    <w:p>
      <w:pPr>
        <w:spacing w:before="0" w:after="0" w:line="408" w:lineRule="exact"/>
        <w:ind w:left="0" w:right="0" w:firstLine="576"/>
        <w:jc w:val="left"/>
      </w:pPr>
      <w:r>
        <w:rPr/>
        <w:t xml:space="preserve">(d) Evaluate the equity impacts and effectiveness of borrower requirements, such as a credit score or a loan cosigner;</w:t>
      </w:r>
    </w:p>
    <w:p>
      <w:pPr>
        <w:spacing w:before="0" w:after="0" w:line="408" w:lineRule="exact"/>
        <w:ind w:left="0" w:right="0" w:firstLine="576"/>
        <w:jc w:val="left"/>
      </w:pPr>
      <w:r>
        <w:rPr/>
        <w:t xml:space="preserve">(e) Compare any potential savings and costs to undergraduate and graduate borrowers of a loan refinanced by the state as compared to similarly situated borrowers of federal direct loans and private loans, issued one, five, and ten years ago;</w:t>
      </w:r>
    </w:p>
    <w:p>
      <w:pPr>
        <w:spacing w:before="0" w:after="0" w:line="408" w:lineRule="exact"/>
        <w:ind w:left="0" w:right="0" w:firstLine="576"/>
        <w:jc w:val="left"/>
      </w:pPr>
      <w:r>
        <w:rPr/>
        <w:t xml:space="preserve">(f) Consider the value of repayment and forgiveness options that may be lost to a borrower of a federal student education loan who chooses to refinance, including income-driven repayment options, economic hardship deferments, or public service loan forgiveness; and</w:t>
      </w:r>
    </w:p>
    <w:p>
      <w:pPr>
        <w:spacing w:before="0" w:after="0" w:line="408" w:lineRule="exact"/>
        <w:ind w:left="0" w:right="0" w:firstLine="576"/>
        <w:jc w:val="left"/>
      </w:pPr>
      <w:r>
        <w:rPr/>
        <w:t xml:space="preserve">(g) Prepare cost estimates for offering similar repayment and forgiveness options through a state-operated student loan authority as those that are available to borrowers of federal student education loans to borrowers.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sections 6, 8, and 11 of this act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7, 10, and 12 through 18 of this act take effect January 1, 2019.</w:t>
      </w:r>
    </w:p>
    <w:p/>
    <w:p>
      <w:pPr>
        <w:jc w:val="center"/>
      </w:pPr>
      <w:r>
        <w:rPr>
          <w:b/>
        </w:rPr>
        <w:t>--- END ---</w:t>
      </w:r>
    </w:p>
    <w:sectPr>
      <w:pgNumType w:start="1"/>
      <w:footerReference xmlns:r="http://schemas.openxmlformats.org/officeDocument/2006/relationships" r:id="R1333da35025748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e329d39d44895" /><Relationship Type="http://schemas.openxmlformats.org/officeDocument/2006/relationships/footer" Target="/word/footer.xml" Id="R1333da35025748cd" /></Relationships>
</file>