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2020f1a0a2407f" /></Relationships>
</file>

<file path=word/document.xml><?xml version="1.0" encoding="utf-8"?>
<w:document xmlns:w="http://schemas.openxmlformats.org/wordprocessingml/2006/main">
  <w:body>
    <w:p>
      <w:r>
        <w:t>S-3510.1</w:t>
      </w:r>
    </w:p>
    <w:p>
      <w:pPr>
        <w:jc w:val="center"/>
      </w:pPr>
      <w:r>
        <w:t>_______________________________________________</w:t>
      </w:r>
    </w:p>
    <w:p/>
    <w:p>
      <w:pPr>
        <w:jc w:val="center"/>
      </w:pPr>
      <w:r>
        <w:rPr>
          <w:b/>
        </w:rPr>
        <w:t>SENATE BILL 6109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and Rolfes</w:t>
      </w:r>
    </w:p>
    <w:p/>
    <w:p>
      <w:r>
        <w:rPr>
          <w:t xml:space="preserve">Prefiled 01/05/18.</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International Wildland Urban Interface Code; amending RCW 19.27.031 and 19.27.074; adding a new section to chapter 43.30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rPr>
          <w:u w:val="single"/>
        </w:rPr>
        <w:t xml:space="preserve">The International Wildland Urban Interface Code, published by the International Code Council, Inc., except that the following provisions are not adopted:</w:t>
      </w:r>
    </w:p>
    <w:p>
      <w:pPr>
        <w:spacing w:before="0" w:after="0" w:line="408" w:lineRule="exact"/>
        <w:ind w:left="0" w:right="0" w:firstLine="576"/>
        <w:jc w:val="left"/>
      </w:pPr>
      <w:r>
        <w:rPr>
          <w:u w:val="single"/>
        </w:rPr>
        <w:t xml:space="preserve">(a) Any requirement for the installation of automatic sprinkler systems;</w:t>
      </w:r>
    </w:p>
    <w:p>
      <w:pPr>
        <w:spacing w:before="0" w:after="0" w:line="408" w:lineRule="exact"/>
        <w:ind w:left="0" w:right="0" w:firstLine="576"/>
        <w:jc w:val="left"/>
      </w:pPr>
      <w:r>
        <w:rPr>
          <w:u w:val="single"/>
        </w:rPr>
        <w:t xml:space="preserve">(b) Any authority to require a permit for candles and open flames in assembly areas, tents, canopies, temporary membrane structures, or residential tire storage;</w:t>
      </w:r>
    </w:p>
    <w:p>
      <w:pPr>
        <w:spacing w:before="0" w:after="0" w:line="408" w:lineRule="exact"/>
        <w:ind w:left="0" w:right="0" w:firstLine="576"/>
        <w:jc w:val="left"/>
      </w:pPr>
      <w:r>
        <w:rPr>
          <w:u w:val="single"/>
        </w:rPr>
        <w:t xml:space="preserve">(c) Any authority to require applicants to prepare fire protection plans based on site-specific wildlife risk assessments;</w:t>
      </w:r>
    </w:p>
    <w:p>
      <w:pPr>
        <w:spacing w:before="0" w:after="0" w:line="408" w:lineRule="exact"/>
        <w:ind w:left="0" w:right="0" w:firstLine="576"/>
        <w:jc w:val="left"/>
      </w:pPr>
      <w:r>
        <w:rPr>
          <w:u w:val="single"/>
        </w:rPr>
        <w:t xml:space="preserve">(d) Any retroactive provision of the International Wildland Urban Code that specifically applies to conditions in existence on the effective date of this section;</w:t>
      </w:r>
    </w:p>
    <w:p>
      <w:pPr>
        <w:spacing w:before="0" w:after="0" w:line="408" w:lineRule="exact"/>
        <w:ind w:left="0" w:right="0" w:firstLine="576"/>
        <w:jc w:val="left"/>
      </w:pPr>
      <w:r>
        <w:rPr>
          <w:u w:val="single"/>
        </w:rPr>
        <w:t xml:space="preserve">(e) Any requirements related to the length of driveways, except that driveways in excess of three hundred feet in length shall be provided with turnarounds and driveways in excess of five hundred feet in length and less than twenty feet in width shall be provided with turnouts and turnarounds;</w:t>
      </w:r>
    </w:p>
    <w:p>
      <w:pPr>
        <w:spacing w:before="0" w:after="0" w:line="408" w:lineRule="exact"/>
        <w:ind w:left="0" w:right="0" w:firstLine="576"/>
        <w:jc w:val="left"/>
      </w:pPr>
      <w:r>
        <w:rPr>
          <w:u w:val="single"/>
        </w:rPr>
        <w:t xml:space="preserve">(5)</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w:t>
      </w:r>
      <w:r>
        <w:t>((</w:t>
      </w:r>
      <w:r>
        <w:rPr>
          <w:strike/>
        </w:rPr>
        <w:t xml:space="preserve">and</w:t>
      </w:r>
      <w:r>
        <w:t>))</w:t>
      </w:r>
      <w:r>
        <w:rPr/>
        <w:t xml:space="preserve"> (4)</w:t>
      </w:r>
      <w:r>
        <w:rPr>
          <w:u w:val="single"/>
        </w:rPr>
        <w:t xml:space="preserve">, and (5)</w:t>
      </w:r>
      <w:r>
        <w:rPr/>
        <w:t xml:space="preserve">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r>
        <w:rPr>
          <w:u w:val="single"/>
        </w:rPr>
        <w:t xml:space="preserve">. In adopting and maintaining the code enumerated in RCW 19.27.031(4), any amendment to the code as adopted by the state building code council may not result in a code that is more than the minimum performance standards and requirements contained in the published model code</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Employ permanent and temporary staff and contract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the state building code, RCW 19.27.031, and amended and maintained by the state building code council.</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d930a34c09045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7aca03ab434b8c" /><Relationship Type="http://schemas.openxmlformats.org/officeDocument/2006/relationships/footer" Target="/word/footer.xml" Id="Rdd930a34c09045dc" /></Relationships>
</file>