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099c26ce3748f6" /></Relationships>
</file>

<file path=word/document.xml><?xml version="1.0" encoding="utf-8"?>
<w:document xmlns:w="http://schemas.openxmlformats.org/wordprocessingml/2006/main">
  <w:body>
    <w:p>
      <w:r>
        <w:t>S-3516.2</w:t>
      </w:r>
    </w:p>
    <w:p>
      <w:pPr>
        <w:jc w:val="center"/>
      </w:pPr>
      <w:r>
        <w:t>_______________________________________________</w:t>
      </w:r>
    </w:p>
    <w:p/>
    <w:p>
      <w:pPr>
        <w:jc w:val="center"/>
      </w:pPr>
      <w:r>
        <w:rPr>
          <w:b/>
        </w:rPr>
        <w:t>SENATE BILL 6151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Rivers, Hobbs, King, Mullet, Van De Wege, and Kuderer</w:t>
      </w:r>
    </w:p>
    <w:p/>
    <w:p>
      <w:r>
        <w:rPr>
          <w:t xml:space="preserve">Read first time 01/10/18.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special license plate to support the maintenance and improvements of Washington state parks; reenacting and amending RCW 46.18.200, 46.17.220, and 46.68.425;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2017 c 25 s 1 and 2017 c 11 s 2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Washington state parks-Sasquatch</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Recognizes the importance of Sasquatch in history and folklore, and supports the maintenance and improvements of Washington state parks.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Washington's fish collection</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Recognizes Washington's fish.</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t>((</w:t>
            </w:r>
            <w:r>
              <w:rPr>
                <w:rFonts w:ascii="Times New Roman" w:hAnsi="Times New Roman"/>
                <w:strike/>
                <w:sz w:val="16"/>
              </w:rPr>
              <w:t xml:space="preserve">Washington's fish collection</w:t>
            </w:r>
          </w:p>
        </w:tc>
        <w:tc>
          <w:tcPr>
            <w:tcW w:w="2440" w:type="dxa"/>
            <w:vAlign w:val="top"/>
          </w:tcPr>
          <w:p>
            <w:pPr>
              <w:spacing w:before="0" w:after="0" w:line="408" w:lineRule="exact"/>
              <w:ind w:left="0" w:right="0" w:firstLine="0"/>
              <w:jc w:val="left"/>
            </w:pPr>
            <w:r>
              <w:rPr>
                <w:rFonts w:ascii="Times New Roman" w:hAnsi="Times New Roman"/>
                <w:strike/>
                <w:sz w:val="16"/>
              </w:rPr>
              <w:t xml:space="preserve">Recognizes Washington's fish.</w:t>
            </w:r>
            <w:r>
              <w:t>))</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2017 c 25 s 2 and 2017 c 11 s 3 are each reenacted and amended to read as follows:</w:t>
      </w:r>
    </w:p>
    <w:p>
      <w:pPr>
        <w:spacing w:before="0" w:after="12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Fred Hutch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(j)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(l)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(m)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(n)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(o)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(p)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(q) Purple Heart</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(r)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(s)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(t)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(u)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(v)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(w)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(x)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(y)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rPr>
                <w:rFonts w:ascii="Times New Roman" w:hAnsi="Times New Roman"/>
                <w:sz w:val="16"/>
              </w:rPr>
              <w:t xml:space="preserve">(z)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(aa)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(bb) Washington farmers and ranchers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(cc)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(dd) Washington state aviation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(ee)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(ff) </w:t>
            </w:r>
            <w:r>
              <w:rPr>
                <w:rFonts w:ascii="Times New Roman" w:hAnsi="Times New Roman"/>
                <w:sz w:val="16"/>
                <w:u w:val="single"/>
              </w:rPr>
              <w:t xml:space="preserve">Washington state parks-Sasquatch</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(gg)</w:t>
            </w:r>
            <w:r>
              <w:rPr>
                <w:rFonts w:ascii="Times New Roman" w:hAnsi="Times New Roman"/>
                <w:sz w:val="16"/>
              </w:rPr>
              <w:t xml:space="preserve"> Washington state wrestling</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(gg)</w:t>
            </w:r>
            <w:r>
              <w:t>))</w:t>
            </w:r>
            <w:r>
              <w:rPr>
                <w:rFonts w:ascii="Times New Roman" w:hAnsi="Times New Roman"/>
                <w:sz w:val="16"/>
              </w:rPr>
              <w:t xml:space="preserve"> </w:t>
            </w:r>
            <w:r>
              <w:rPr>
                <w:rFonts w:ascii="Times New Roman" w:hAnsi="Times New Roman"/>
                <w:sz w:val="16"/>
                <w:u w:val="single"/>
              </w:rPr>
              <w:t xml:space="preserve">(hh)</w:t>
            </w:r>
            <w:r>
              <w:rPr>
                <w:rFonts w:ascii="Times New Roman" w:hAnsi="Times New Roman"/>
                <w:sz w:val="16"/>
              </w:rPr>
              <w:t xml:space="preserve"> Washington tennis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(hh)</w:t>
            </w:r>
            <w:r>
              <w:t>))</w:t>
            </w:r>
            <w:r>
              <w:rPr>
                <w:rFonts w:ascii="Times New Roman" w:hAnsi="Times New Roman"/>
                <w:sz w:val="16"/>
              </w:rPr>
              <w:t xml:space="preserve"> </w:t>
            </w:r>
            <w:r>
              <w:rPr>
                <w:rFonts w:ascii="Times New Roman" w:hAnsi="Times New Roman"/>
                <w:sz w:val="16"/>
                <w:u w:val="single"/>
              </w:rPr>
              <w:t xml:space="preserve">(ii)</w:t>
            </w:r>
            <w:r>
              <w:rPr>
                <w:rFonts w:ascii="Times New Roman" w:hAnsi="Times New Roman"/>
                <w:sz w:val="16"/>
              </w:rPr>
              <w:t xml:space="preserve"> Washington's fish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(ii)</w:t>
            </w:r>
            <w:r>
              <w:t>))</w:t>
            </w:r>
            <w:r>
              <w:rPr>
                <w:rFonts w:ascii="Times New Roman" w:hAnsi="Times New Roman"/>
                <w:sz w:val="16"/>
              </w:rPr>
              <w:t xml:space="preserve"> </w:t>
            </w:r>
            <w:r>
              <w:rPr>
                <w:rFonts w:ascii="Times New Roman" w:hAnsi="Times New Roman"/>
                <w:sz w:val="16"/>
                <w:u w:val="single"/>
              </w:rPr>
              <w:t xml:space="preserve">(jj)</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(jj)</w:t>
            </w:r>
            <w:r>
              <w:t>))</w:t>
            </w:r>
            <w:r>
              <w:rPr>
                <w:rFonts w:ascii="Times New Roman" w:hAnsi="Times New Roman"/>
                <w:sz w:val="16"/>
              </w:rPr>
              <w:t xml:space="preserve"> </w:t>
            </w:r>
            <w:r>
              <w:rPr>
                <w:rFonts w:ascii="Times New Roman" w:hAnsi="Times New Roman"/>
                <w:sz w:val="16"/>
                <w:u w:val="single"/>
              </w:rPr>
              <w:t xml:space="preserve">(kk)</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(kk)</w:t>
            </w:r>
            <w:r>
              <w:t>))</w:t>
            </w:r>
            <w:r>
              <w:rPr>
                <w:rFonts w:ascii="Times New Roman" w:hAnsi="Times New Roman"/>
                <w:sz w:val="16"/>
              </w:rPr>
              <w:t xml:space="preserve"> </w:t>
            </w:r>
            <w:r>
              <w:rPr>
                <w:rFonts w:ascii="Times New Roman" w:hAnsi="Times New Roman"/>
                <w:sz w:val="16"/>
                <w:u w:val="single"/>
              </w:rPr>
              <w:t xml:space="preserve">(ll)</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(ll)</w:t>
            </w:r>
            <w:r>
              <w:t>))</w:t>
            </w:r>
            <w:r>
              <w:rPr>
                <w:rFonts w:ascii="Times New Roman" w:hAnsi="Times New Roman"/>
                <w:sz w:val="16"/>
              </w:rPr>
              <w:t xml:space="preserve"> </w:t>
            </w:r>
            <w:r>
              <w:rPr>
                <w:rFonts w:ascii="Times New Roman" w:hAnsi="Times New Roman"/>
                <w:sz w:val="16"/>
                <w:u w:val="single"/>
              </w:rPr>
              <w:t xml:space="preserve">(mm)</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12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425</w:t>
      </w:r>
      <w:r>
        <w:rPr/>
        <w:t xml:space="preserve"> and 2016 c 31 s 3 and 2016 c 30 s 4 are each reenacted and amended to read as follows:</w:t>
      </w:r>
    </w:p>
    <w:p>
      <w:pPr>
        <w:spacing w:before="0" w:after="0" w:line="408" w:lineRule="exact"/>
        <w:ind w:left="0" w:right="0" w:firstLine="576"/>
        <w:jc w:val="left"/>
      </w:pPr>
      <w:r>
        <w:rPr/>
        <w:t xml:space="preserve">(1) The department shall:</w:t>
      </w:r>
    </w:p>
    <w:p>
      <w:pPr>
        <w:spacing w:before="0" w:after="120" w:line="408" w:lineRule="exact"/>
        <w:ind w:left="0" w:right="0" w:firstLine="576"/>
        <w:jc w:val="left"/>
      </w:pPr>
      <w:r>
        <w:rPr/>
        <w:t xml:space="preserve">(a) Collect special license plate fees established under RCW 46.17.220;</w:t>
      </w:r>
    </w:p>
    <w:p>
      <w:pPr>
        <w:spacing w:before="0" w:after="12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120" w:line="408" w:lineRule="exact"/>
        <w:ind w:left="0" w:right="0" w:firstLine="576"/>
        <w:jc w:val="left"/>
      </w:pPr>
      <w:r>
        <w:rPr/>
        <w:t xml:space="preserve">(c) Remit the remaining proceeds to the custody of the state treasurer with a proper identifying detailed report.</w:t>
      </w:r>
    </w:p>
    <w:p>
      <w:pPr>
        <w:spacing w:before="0" w:after="12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fees to the following accounts by special license plate type:</w:t>
      </w:r>
    </w:p>
    <w:tbl>
      <w:tblPr>
        <w:tblW w:w="0" w:type="auto"/>
        <w:jc w:val="center"/>
        <w:tcMar>
          <w:tblCellMar>
            <w:top w:w="0" w:type="dxa"/>
          </w:tblCellMar>
        </w:tcMar>
        <w:tcMar>
          <w:tblCellMar>
            <w:left w:w="0" w:type="dxa"/>
            <w:right w:w="0" w:type="dxa"/>
          </w:tblCellMar>
        </w:tcMar>
      </w:tblPr>
      <w:tblGrid>
        <w:gridCol w:w="1620"/>
        <w:gridCol w:w="1620"/>
        <w:gridCol w:w="1620"/>
      </w:tblGrid>
      <w:tr>
        <w:tc>
          <w:tcPr>
            <w:tcW w:w="1620" w:type="dxa"/>
            <w:vAlign w:val="top"/>
          </w:tcPr>
          <w:p>
            <w:pPr>
              <w:spacing w:before="0" w:after="0" w:line="408" w:lineRule="exact"/>
              <w:ind w:left="0" w:right="0" w:firstLine="0"/>
              <w:jc w:val="left"/>
            </w:pPr>
            <w:r>
              <w:rPr>
                <w:rFonts w:ascii="Times New Roman" w:hAnsi="Times New Roman"/>
                <w:sz w:val="16"/>
              </w:rPr>
              <w:t xml:space="preserve">SPECIAL LICENSE PLATE TYPE</w:t>
            </w:r>
          </w:p>
        </w:tc>
        <w:tc>
          <w:tcPr>
            <w:tcW w:w="1620" w:type="dxa"/>
            <w:vAlign w:val="top"/>
          </w:tcPr>
          <w:p>
            <w:pPr>
              <w:spacing w:before="0" w:after="0" w:line="408" w:lineRule="exact"/>
              <w:ind w:left="0" w:right="0" w:firstLine="0"/>
              <w:jc w:val="left"/>
            </w:pPr>
            <w:r>
              <w:rPr>
                <w:rFonts w:ascii="Times New Roman" w:hAnsi="Times New Roman"/>
                <w:sz w:val="16"/>
              </w:rPr>
              <w:t xml:space="preserve">ACCOUNT</w:t>
            </w:r>
          </w:p>
        </w:tc>
        <w:tc>
          <w:tcPr>
            <w:tcW w:w="1620" w:type="dxa"/>
            <w:vAlign w:val="top"/>
          </w:tcPr>
          <w:p>
            <w:pPr>
              <w:spacing w:before="0" w:after="0" w:line="408" w:lineRule="exact"/>
              <w:ind w:left="0" w:right="0" w:firstLine="0"/>
              <w:jc w:val="left"/>
            </w:pPr>
            <w:r>
              <w:rPr>
                <w:rFonts w:ascii="Times New Roman" w:hAnsi="Times New Roman"/>
                <w:sz w:val="16"/>
              </w:rPr>
              <w:t xml:space="preserve">CONDITIONS FOR USE OF FUNDS</w:t>
            </w:r>
          </w:p>
        </w:tc>
      </w:tr>
      <w:tr>
        <w:tc>
          <w:tcPr>
            <w:tcW w:w="1620" w:type="dxa"/>
            <w:vAlign w:val="top"/>
          </w:tcPr>
          <w:p>
            <w:pPr>
              <w:spacing w:before="0" w:after="0" w:line="408" w:lineRule="exact"/>
              <w:ind w:left="0" w:right="0" w:firstLine="0"/>
              <w:jc w:val="left"/>
            </w:pPr>
            <w:r>
              <w:rPr>
                <w:rFonts w:ascii="Times New Roman" w:hAnsi="Times New Roman"/>
                <w:sz w:val="16"/>
              </w:rPr>
              <w:t xml:space="preserve">Armed forces</w:t>
            </w:r>
          </w:p>
        </w:tc>
        <w:tc>
          <w:tcPr>
            <w:tcW w:w="1620" w:type="dxa"/>
            <w:vAlign w:val="top"/>
          </w:tcPr>
          <w:p>
            <w:pPr>
              <w:spacing w:before="0" w:after="0" w:line="408" w:lineRule="exact"/>
              <w:ind w:left="0" w:right="0" w:firstLine="0"/>
              <w:jc w:val="left"/>
            </w:pPr>
            <w:r>
              <w:rPr>
                <w:rFonts w:ascii="Times New Roman" w:hAnsi="Times New Roman"/>
                <w:sz w:val="16"/>
              </w:rPr>
              <w:t xml:space="preserve">RCW 43.60A.140</w:t>
            </w:r>
          </w:p>
        </w:tc>
        <w:tc>
          <w:tcPr>
            <w:tcW w:w="1620" w:type="dxa"/>
            <w:vAlign w:val="top"/>
          </w:tcPr>
          <w:p>
            <w:pPr>
              <w:spacing w:before="0" w:after="0" w:line="408" w:lineRule="exact"/>
              <w:ind w:left="0" w:right="0" w:firstLine="0"/>
              <w:jc w:val="left"/>
            </w:pPr>
            <w:r>
              <w:rPr>
                <w:rFonts w:ascii="Times New Roman" w:hAnsi="Times New Roman"/>
                <w:sz w:val="16"/>
              </w:rPr>
              <w:t xml:space="preserve">As specified in RCW 43.60A.140(4)</w:t>
            </w:r>
          </w:p>
        </w:tc>
      </w:tr>
      <w:tr>
        <w:tc>
          <w:tcPr>
            <w:tcW w:w="16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1620" w:type="dxa"/>
            <w:vAlign w:val="top"/>
          </w:tcPr>
          <w:p>
            <w:pPr>
              <w:spacing w:before="0" w:after="0" w:line="408" w:lineRule="exact"/>
              <w:ind w:left="0" w:right="0" w:firstLine="0"/>
              <w:jc w:val="left"/>
            </w:pPr>
            <w:r>
              <w:rPr>
                <w:rFonts w:ascii="Times New Roman" w:hAnsi="Times New Roman"/>
                <w:sz w:val="16"/>
              </w:rPr>
              <w:t xml:space="preserve">RCW 43.70.327</w:t>
            </w:r>
          </w:p>
        </w:tc>
        <w:tc>
          <w:tcPr>
            <w:tcW w:w="1620" w:type="dxa"/>
            <w:vAlign w:val="top"/>
          </w:tcPr>
          <w:p>
            <w:pPr>
              <w:spacing w:before="0" w:after="0" w:line="408" w:lineRule="exact"/>
              <w:ind w:left="0" w:right="0" w:firstLine="0"/>
              <w:jc w:val="left"/>
            </w:pPr>
            <w:r>
              <w:rPr>
                <w:rFonts w:ascii="Times New Roman" w:hAnsi="Times New Roman"/>
                <w:sz w:val="16"/>
              </w:rPr>
              <w:t xml:space="preserve">Must be used only by the department of health for efforts consistent with the breast, cervical, and colon health program</w:t>
            </w:r>
          </w:p>
        </w:tc>
      </w:tr>
      <w:tr>
        <w:tc>
          <w:tcPr>
            <w:tcW w:w="16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Must be used only for the department of fish and wildlife's endangered wildlife program activities</w:t>
            </w:r>
          </w:p>
        </w:tc>
      </w:tr>
      <w:tr>
        <w:tc>
          <w:tcPr>
            <w:tcW w:w="16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1620" w:type="dxa"/>
            <w:vAlign w:val="top"/>
          </w:tcPr>
          <w:p>
            <w:pPr>
              <w:spacing w:before="0" w:after="0" w:line="408" w:lineRule="exact"/>
              <w:ind w:left="0" w:right="0" w:firstLine="0"/>
              <w:jc w:val="left"/>
            </w:pPr>
            <w:r>
              <w:rPr>
                <w:rFonts w:ascii="Times New Roman" w:hAnsi="Times New Roman"/>
                <w:sz w:val="16"/>
              </w:rPr>
              <w:t xml:space="preserve">RCW 43.121.100</w:t>
            </w:r>
          </w:p>
        </w:tc>
        <w:tc>
          <w:tcPr>
            <w:tcW w:w="1620" w:type="dxa"/>
            <w:vAlign w:val="top"/>
          </w:tcPr>
          <w:p>
            <w:pPr>
              <w:spacing w:before="0" w:after="0" w:line="408" w:lineRule="exact"/>
              <w:ind w:left="0" w:right="0" w:firstLine="0"/>
              <w:jc w:val="left"/>
            </w:pPr>
            <w:r>
              <w:rPr>
                <w:rFonts w:ascii="Times New Roman" w:hAnsi="Times New Roman"/>
                <w:sz w:val="16"/>
              </w:rPr>
              <w:t xml:space="preserve">As specified in RCW 43.121.100</w:t>
            </w:r>
          </w:p>
        </w:tc>
      </w:tr>
      <w:tr>
        <w:tc>
          <w:tcPr>
            <w:tcW w:w="1620" w:type="dxa"/>
            <w:vAlign w:val="top"/>
          </w:tcPr>
          <w:p>
            <w:pPr>
              <w:spacing w:before="0" w:after="0" w:line="408" w:lineRule="exact"/>
              <w:ind w:left="0" w:right="0" w:firstLine="0"/>
              <w:jc w:val="left"/>
            </w:pPr>
            <w:r>
              <w:rPr>
                <w:rFonts w:ascii="Times New Roman" w:hAnsi="Times New Roman"/>
                <w:sz w:val="16"/>
              </w:rPr>
              <w:t xml:space="preserve">Purple Heart</w:t>
            </w:r>
          </w:p>
        </w:tc>
        <w:tc>
          <w:tcPr>
            <w:tcW w:w="1620" w:type="dxa"/>
            <w:vAlign w:val="top"/>
          </w:tcPr>
          <w:p>
            <w:pPr>
              <w:spacing w:before="0" w:after="0" w:line="408" w:lineRule="exact"/>
              <w:ind w:left="0" w:right="0" w:firstLine="0"/>
              <w:jc w:val="left"/>
            </w:pPr>
            <w:r>
              <w:rPr>
                <w:rFonts w:ascii="Times New Roman" w:hAnsi="Times New Roman"/>
                <w:sz w:val="16"/>
              </w:rPr>
              <w:t xml:space="preserve">RCW 43.60A.140</w:t>
            </w:r>
          </w:p>
        </w:tc>
        <w:tc>
          <w:tcPr>
            <w:tcW w:w="1620" w:type="dxa"/>
            <w:vAlign w:val="top"/>
          </w:tcPr>
          <w:p>
            <w:pPr>
              <w:spacing w:before="0" w:after="0" w:line="408" w:lineRule="exact"/>
              <w:ind w:left="0" w:right="0" w:firstLine="0"/>
              <w:jc w:val="left"/>
            </w:pPr>
            <w:r>
              <w:rPr>
                <w:rFonts w:ascii="Times New Roman" w:hAnsi="Times New Roman"/>
                <w:sz w:val="16"/>
              </w:rPr>
              <w:t xml:space="preserve">As specified in RCW 43.60A.140(4)</w:t>
            </w:r>
          </w:p>
        </w:tc>
      </w:tr>
      <w:tr>
        <w:tc>
          <w:tcPr>
            <w:tcW w:w="16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1620" w:type="dxa"/>
            <w:vAlign w:val="top"/>
          </w:tcPr>
          <w:p>
            <w:pPr>
              <w:spacing w:before="0" w:after="0" w:line="408" w:lineRule="exact"/>
              <w:ind w:left="0" w:right="0" w:firstLine="0"/>
              <w:jc w:val="left"/>
            </w:pPr>
            <w:r>
              <w:rPr>
                <w:rFonts w:ascii="Times New Roman" w:hAnsi="Times New Roman"/>
                <w:sz w:val="16"/>
              </w:rPr>
              <w:t xml:space="preserve">RCW 79A.05.059</w:t>
            </w:r>
          </w:p>
        </w:tc>
        <w:tc>
          <w:tcPr>
            <w:tcW w:w="1620" w:type="dxa"/>
            <w:vAlign w:val="top"/>
          </w:tcPr>
          <w:p>
            <w:pPr>
              <w:spacing w:before="0" w:after="0" w:line="408" w:lineRule="exact"/>
              <w:ind w:left="0" w:right="0" w:firstLine="0"/>
              <w:jc w:val="left"/>
            </w:pPr>
            <w:r>
              <w:rPr>
                <w:rFonts w:ascii="Times New Roman" w:hAnsi="Times New Roman"/>
                <w:sz w:val="16"/>
              </w:rPr>
              <w:t xml:space="preserve">Provide public educational opportunities and enhancement of Washington state parks</w:t>
            </w:r>
          </w:p>
        </w:tc>
      </w:tr>
      <w:tr>
        <w:tc>
          <w:tcPr>
            <w:tcW w:w="1620" w:type="dxa"/>
            <w:vAlign w:val="top"/>
          </w:tcPr>
          <w:p>
            <w:pPr>
              <w:spacing w:before="0" w:after="0" w:line="408" w:lineRule="exact"/>
              <w:ind w:left="0" w:right="0" w:firstLine="0"/>
              <w:jc w:val="left"/>
            </w:pPr>
            <w:r>
              <w:rPr>
                <w:rFonts w:ascii="Times New Roman" w:hAnsi="Times New Roman"/>
                <w:sz w:val="16"/>
                <w:u w:val="single"/>
              </w:rPr>
              <w:t xml:space="preserve">Washington state parks-Sasquatch</w:t>
            </w:r>
          </w:p>
        </w:tc>
        <w:tc>
          <w:tcPr>
            <w:tcW w:w="1620" w:type="dxa"/>
            <w:vAlign w:val="top"/>
          </w:tcPr>
          <w:p>
            <w:pPr>
              <w:spacing w:before="0" w:after="0" w:line="408" w:lineRule="exact"/>
              <w:ind w:left="0" w:right="0" w:firstLine="0"/>
              <w:jc w:val="left"/>
            </w:pPr>
            <w:r>
              <w:rPr>
                <w:rFonts w:ascii="Times New Roman" w:hAnsi="Times New Roman"/>
                <w:sz w:val="16"/>
                <w:u w:val="single"/>
              </w:rPr>
              <w:t xml:space="preserve">RCW 79A.05.059</w:t>
            </w:r>
          </w:p>
        </w:tc>
        <w:tc>
          <w:tcPr>
            <w:tcW w:w="1620" w:type="dxa"/>
            <w:vAlign w:val="top"/>
          </w:tcPr>
          <w:p>
            <w:pPr>
              <w:spacing w:before="0" w:after="0" w:line="408" w:lineRule="exact"/>
              <w:ind w:left="0" w:right="0" w:firstLine="0"/>
              <w:jc w:val="left"/>
            </w:pPr>
            <w:r>
              <w:rPr>
                <w:rFonts w:ascii="Times New Roman" w:hAnsi="Times New Roman"/>
                <w:sz w:val="16"/>
                <w:u w:val="single"/>
              </w:rPr>
              <w:t xml:space="preserve">Provide support for the maintenance and improvements of Washington state parks</w:t>
            </w:r>
          </w:p>
        </w:tc>
      </w:tr>
      <w:tr>
        <w:tc>
          <w:tcPr>
            <w:tcW w:w="1620" w:type="dxa"/>
            <w:vAlign w:val="top"/>
          </w:tcPr>
          <w:p>
            <w:pPr>
              <w:spacing w:before="0" w:after="0" w:line="408" w:lineRule="exact"/>
              <w:ind w:left="0" w:right="0" w:firstLine="0"/>
              <w:jc w:val="left"/>
            </w:pPr>
            <w:r>
              <w:rPr>
                <w:rFonts w:ascii="Times New Roman" w:hAnsi="Times New Roman"/>
                <w:sz w:val="16"/>
              </w:rPr>
              <w:t xml:space="preserve">Washington's fish collection</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Only for the department of fish and wildlife's use to support steelhead species management activities including, but not limited to, activities supporting conservation, recovery, and research to promote healthy, fishable steelhead</w:t>
            </w:r>
          </w:p>
        </w:tc>
      </w:tr>
      <w:tr>
        <w:tc>
          <w:tcPr>
            <w:tcW w:w="16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Only for the department of fish and wildlife's game species management activities</w:t>
            </w:r>
          </w:p>
        </w:tc>
      </w:tr>
      <w:tr>
        <w:tc>
          <w:tcPr>
            <w:tcW w:w="16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Dedicated to the department of fish and wildlife's watchable wildlife activities, as defined in RCW 77.32.560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"Sasquatch license plates" means license plates issued under RCW 46.18.200 that displays a symbol or artwork recognizing the cultural significance of Sasquatch in Washington history and folklore.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780fc261348e42d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e0d52665934736" /><Relationship Type="http://schemas.openxmlformats.org/officeDocument/2006/relationships/footer" Target="/word/footer.xml" Id="R780fc261348e42d9" /></Relationships>
</file>