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0642006dd49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Kuderer, Darneille, and Palumbo)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adding a new section to chapter 13.40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offense as defined in RCW 9.94A.030;</w:t>
      </w:r>
    </w:p>
    <w:p>
      <w:pPr>
        <w:spacing w:before="0" w:after="0" w:line="408" w:lineRule="exact"/>
        <w:ind w:left="0" w:right="0" w:firstLine="576"/>
        <w:jc w:val="left"/>
      </w:pPr>
      <w:r>
        <w:rPr>
          <w:u w:val="single"/>
        </w:rPr>
        <w:t xml:space="preserve">(b) </w:t>
      </w:r>
      <w:r>
        <w:rPr>
          <w:u w:val="single"/>
        </w:rPr>
        <w:t xml:space="preserve">The respondent is, at the time of proceedings, at least fifteen years of age or older and is charged with rape of a child in the first degree; or</w:t>
      </w:r>
    </w:p>
    <w:p>
      <w:pPr>
        <w:spacing w:before="0" w:after="0" w:line="408" w:lineRule="exact"/>
        <w:ind w:left="0" w:right="0" w:firstLine="576"/>
        <w:jc w:val="left"/>
      </w:pPr>
      <w:r>
        <w:rPr>
          <w:u w:val="single"/>
        </w:rPr>
        <w:t xml:space="preserve">(c)</w:t>
      </w:r>
      <w:r>
        <w:rPr>
          <w:u w:val="single"/>
        </w:rPr>
        <w:t xml:space="preserve">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w:t>
      </w:r>
      <w:r>
        <w:rPr>
          <w:u w:val="single"/>
        </w:rPr>
        <w:t xml:space="preserve">(a)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u w:val="single"/>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u w:val="single"/>
        </w:rPr>
        <w:t xml:space="preserve">(5)</w:t>
      </w:r>
      <w:r>
        <w:rPr/>
        <w:t xml:space="preserve">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department must take appropriate actions to protect younger children in confinement from older youth who may be confined pursuant to this act, recognizing both the potential for positive mentorship and the potential risks relating to victimization and the exercise of negative influence. The court may exercise oversight if needed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NumType w:start="1"/>
      <w:footerReference xmlns:r="http://schemas.openxmlformats.org/officeDocument/2006/relationships" r:id="R547ef7c7439f47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d902e2c7544f9" /><Relationship Type="http://schemas.openxmlformats.org/officeDocument/2006/relationships/footer" Target="/word/footer.xml" Id="R547ef7c7439f476e" /></Relationships>
</file>