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5994fd2f7842a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Palumbo, Carlyle, McCoy, Hobbs, Wellman, Sheldon, Hawkins, Mullet, Conway, and Brown)</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transportation; adding a new section to chapter 35.92 RCW; adding a new section to chapter 54.16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Programs for the electrification of transportation have the potential to allow electric utilities to optimize the use of electric grid infrastructure, improve the management of electric loads, and better manage the integration of variable renewable energy resources. Depending upon each utility's unique circumstances, electrification of transportation programs may provide cost-effective energy efficiency, through more efficient use of energy resources, and more efficient use of the electric delivery system. Electrification of transportation may result in cost savings and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The utilities and transportation commission is authorized to allow an incentive rate of return on investment on capital expenditures for electric vehicle supply equipment for an electrical company regulated under chapter 80.28 RCW. Similar legislative clarity is important for consumer-owned utilities to offer incentive programs and services in the electrification of transportation for its customers. It is the intent of the legislature to achieve parity among all electric utilities, so each electric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an electrification of transportation plan that, at a minimum, establishes a finding that utility outreach and investment in the electrification of transportation infrastructure is: Cost-effective, as determined using a methodology that assesses both the expected benefits and expected costs to ratepayers served by the utility.</w:t>
      </w:r>
    </w:p>
    <w:p>
      <w:pPr>
        <w:spacing w:before="0" w:after="0" w:line="408" w:lineRule="exact"/>
        <w:ind w:left="0" w:right="0" w:firstLine="576"/>
        <w:jc w:val="left"/>
      </w:pPr>
      <w:r>
        <w:rPr/>
        <w:t xml:space="preserve">(2) In adopting an electrification of transportation plan under subsection (1) of this section, the governing authority may consider some or all of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The governing authority of an electric utility formed under this chapter may, upon making a cost-effectiveness determination in accordance with subsection (1) of this section, offer incentive programs in the electrification of transportation for its customers, including advertising programs to promote the utility's services, incentives, or rebates. Incentive programs offered under this subsection may not increase costs to ratepayers in excess of one-quarter of one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an electrification of transportation plan that, at a minimum, establishes a finding that outreach and investment in the electrification of transportation infrastructure is: Cost-effective, as determined using a methodology that assesses both the expected benefits and expected costs to customers served by the district.</w:t>
      </w:r>
    </w:p>
    <w:p>
      <w:pPr>
        <w:spacing w:before="0" w:after="0" w:line="408" w:lineRule="exact"/>
        <w:ind w:left="0" w:right="0" w:firstLine="576"/>
        <w:jc w:val="left"/>
      </w:pPr>
      <w:r>
        <w:rPr/>
        <w:t xml:space="preserve">(2) In adopting an electrification of transportation plan under subsection (1) of this section, the commission of a public utility district may consider some or all of the following: (a) The applicability of multiple options for electrification of transportation across all customer classes; (b) the impact of electrification on the district's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The commission of a public utility district may, upon making a cost-effectiveness determination in accordance with subsection (1) of this section, offer incentive programs in the electrification of transportation for its customers, including advertising programs to promote the district's services, incentives, or rebates. Incentive programs offered under this subsection may not increase costs to customers in excess of one-quarter of one percent.</w:t>
      </w:r>
    </w:p>
    <w:p/>
    <w:p>
      <w:pPr>
        <w:jc w:val="center"/>
      </w:pPr>
      <w:r>
        <w:rPr>
          <w:b/>
        </w:rPr>
        <w:t>--- END ---</w:t>
      </w:r>
    </w:p>
    <w:sectPr>
      <w:pgNumType w:start="1"/>
      <w:footerReference xmlns:r="http://schemas.openxmlformats.org/officeDocument/2006/relationships" r:id="R09fdad4dab2646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2ef2a413a34436" /><Relationship Type="http://schemas.openxmlformats.org/officeDocument/2006/relationships/footer" Target="/word/footer.xml" Id="R09fdad4dab2646cd" /></Relationships>
</file>