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54f9db9744fb4" /></Relationships>
</file>

<file path=word/document.xml><?xml version="1.0" encoding="utf-8"?>
<w:document xmlns:w="http://schemas.openxmlformats.org/wordprocessingml/2006/main">
  <w:body>
    <w:p>
      <w:r>
        <w:t>S-5201.4</w:t>
      </w:r>
    </w:p>
    <w:p>
      <w:pPr>
        <w:jc w:val="center"/>
      </w:pPr>
      <w:r>
        <w:t>_______________________________________________</w:t>
      </w:r>
    </w:p>
    <w:p/>
    <w:p>
      <w:pPr>
        <w:jc w:val="center"/>
      </w:pPr>
      <w:r>
        <w:rPr>
          <w:b/>
        </w:rPr>
        <w:t>SECOND SUBSTITUTE SENATE BILL 6189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Fain, Frockt, Pedersen, Palumbo, Hasegawa, Darneille, Rivers, Mullet, and Saldaña)</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driving a motor vehicle with a suspended or revoked driver's license; amending RCW 46.20.289, 46.20.291, 46.20.341, 46.20.342, 10.37.015, 46.20.005, 46.20.391, 46.55.113, 46.63.020, 46.63.110, 46.63.110, 46.64.025, and 2.68.040; reenacting and amending RCW 10.31.100; adding a new section to chapter 46.68 RCW; adding a new section to chapter 46.20 RCW; creating a new section; repealing RCW 46.20.2891;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w:t>
      </w:r>
      <w:r>
        <w:rPr>
          <w:u w:val="single"/>
        </w:rPr>
        <w:t xml:space="preserve">: (a) W</w:t>
      </w:r>
      <w:r>
        <w:rPr/>
        <w:t xml:space="preserve">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t>((</w:t>
      </w:r>
      <w:r>
        <w:rPr>
          <w:strike/>
        </w:rPr>
        <w:t xml:space="preserve">for a moving violation,</w:t>
      </w:r>
      <w:r>
        <w:t>))</w:t>
      </w:r>
      <w:r>
        <w:rPr>
          <w:u w:val="single"/>
        </w:rPr>
        <w:t xml:space="preserve">;</w:t>
      </w:r>
      <w:r>
        <w:rPr/>
        <w:t xml:space="preserve"> or </w:t>
      </w:r>
      <w:r>
        <w:rPr>
          <w:u w:val="single"/>
        </w:rPr>
        <w:t xml:space="preserve">(b)</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(2)</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(3)</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w:t>
      </w:r>
      <w:r>
        <w:t>((</w:t>
      </w:r>
      <w:r>
        <w:rPr>
          <w:strike/>
        </w:rPr>
        <w:t xml:space="preserve">failed to respond to a notice of traffic infraction, failed to appear at a requested hearing, violated a written promise to appear in court,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 (c)</w:t>
      </w:r>
      <w:r>
        <w:t>((</w:t>
      </w:r>
      <w:r>
        <w:rPr>
          <w:strike/>
        </w:rPr>
        <w:t xml:space="preserve">(iv)</w:t>
      </w:r>
      <w:r>
        <w:t>))</w:t>
      </w:r>
      <w:r>
        <w:rPr/>
        <w:t xml:space="preserve"> </w:t>
      </w:r>
      <w:r>
        <w:rPr>
          <w:u w:val="single"/>
        </w:rPr>
        <w:t xml:space="preserve">or (d)</w:t>
      </w:r>
      <w:r>
        <w:rPr/>
        <w:t xml:space="preserve">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 (c)</w:t>
      </w:r>
      <w:r>
        <w:t>((</w:t>
      </w:r>
      <w:r>
        <w:rPr>
          <w:strike/>
        </w:rPr>
        <w:t xml:space="preserve">(iv)</w:t>
      </w:r>
      <w:r>
        <w:t>))</w:t>
      </w:r>
      <w:r>
        <w:rPr/>
        <w:t xml:space="preserve"> </w:t>
      </w:r>
      <w:r>
        <w:rPr>
          <w:u w:val="single"/>
        </w:rPr>
        <w:t xml:space="preserve">or (d)</w:t>
      </w:r>
      <w:r>
        <w:rPr/>
        <w:t xml:space="preserve">.</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 (c)</w:t>
      </w:r>
      <w:r>
        <w:t>((</w:t>
      </w:r>
      <w:r>
        <w:rPr>
          <w:strike/>
        </w:rPr>
        <w:t xml:space="preserve">(iv)</w:t>
      </w:r>
      <w:r>
        <w:t>))</w:t>
      </w:r>
      <w:r>
        <w:rPr/>
        <w:t xml:space="preserve"> </w:t>
      </w:r>
      <w:r>
        <w:rPr>
          <w:u w:val="single"/>
        </w:rPr>
        <w:t xml:space="preserve">or (d)</w:t>
      </w:r>
      <w:r>
        <w:rPr/>
        <w:t xml:space="preserve">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Participation in a relicensing program</w:t>
      </w:r>
      <w:r>
        <w:rPr/>
        <w:t xml:space="preserve"> may be offered at the discretion of the prosecuting attorney before charges are filed, or by the court after charges are filed.</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 (c)</w:t>
      </w:r>
      <w:r>
        <w:t>((</w:t>
      </w:r>
      <w:r>
        <w:rPr>
          <w:strike/>
        </w:rPr>
        <w:t xml:space="preserve">(iv)</w:t>
      </w:r>
      <w:r>
        <w:t>))</w:t>
      </w:r>
      <w:r>
        <w:rPr/>
        <w:t xml:space="preserve"> </w:t>
      </w:r>
      <w:r>
        <w:rPr>
          <w:u w:val="single"/>
        </w:rPr>
        <w:t xml:space="preserve">or (d)</w:t>
      </w:r>
      <w:r>
        <w:rPr/>
        <w:t xml:space="preserve">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notice of </w:t>
      </w:r>
      <w:r>
        <w:t>((</w:t>
      </w:r>
      <w:r>
        <w:rPr>
          <w:strike/>
        </w:rPr>
        <w:t xml:space="preserve">traffic infraction</w:t>
      </w:r>
      <w:r>
        <w:t>))</w:t>
      </w:r>
      <w:r>
        <w:rPr/>
        <w:t xml:space="preserve"> </w:t>
      </w:r>
      <w:r>
        <w:rPr>
          <w:u w:val="single"/>
        </w:rPr>
        <w:t xml:space="preserve">a criminal complaint</w:t>
      </w:r>
      <w:r>
        <w:rPr/>
        <w:t xml:space="preserve"> or </w:t>
      </w:r>
      <w:r>
        <w:rPr>
          <w:u w:val="single"/>
        </w:rPr>
        <w:t xml:space="preserve">criminal</w:t>
      </w:r>
      <w:r>
        <w:rPr/>
        <w:t xml:space="preserve"> citation, as provided in RCW 46.20.289</w:t>
      </w:r>
      <w:r>
        <w:rPr>
          <w:u w:val="single"/>
        </w:rPr>
        <w:t xml:space="preserve">(1)(a)</w:t>
      </w:r>
      <w:r>
        <w:rPr/>
        <w:t xml:space="preserve">, (v) </w:t>
      </w:r>
      <w:r>
        <w:t>((</w:t>
      </w:r>
      <w:r>
        <w:rPr>
          <w:strike/>
        </w:rPr>
        <w:t xml:space="preserve">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w:t>
      </w:r>
      <w:r>
        <w:t>))</w:t>
      </w:r>
      <w:r>
        <w:rPr/>
        <w:t xml:space="preserve"> the person has been certified by the department of social and health services as a person who is not in compliance with a child support order as provided in RCW 74.20A.320, </w:t>
      </w:r>
      <w:r>
        <w:rPr>
          <w:u w:val="single"/>
        </w:rPr>
        <w:t xml:space="preserve">or (vi) the person has driven while his or her driver's license was suspended or revoked for any of the reasons listed in (d) of this subsection when the person has committed driving while license suspended or revoked in the fourth degree four or more times in the past four years,</w:t>
      </w:r>
      <w:r>
        <w:rPr/>
        <w:t xml:space="preserve"> or any combination of (c)(i) through </w:t>
      </w:r>
      <w:r>
        <w:t>((</w:t>
      </w:r>
      <w:r>
        <w:rPr>
          <w:strike/>
        </w:rPr>
        <w:t xml:space="preserve">(viii)</w:t>
      </w:r>
      <w:r>
        <w:t>))</w:t>
      </w:r>
      <w:r>
        <w:rPr/>
        <w:t xml:space="preserve"> </w:t>
      </w:r>
      <w:r>
        <w:rPr>
          <w:u w:val="single"/>
        </w:rPr>
        <w:t xml:space="preserve">(vi)</w:t>
      </w:r>
      <w:r>
        <w:rPr/>
        <w:t xml:space="preserve"> of this subsection, is guilty of driving while license suspended or revoked in the third degree, a misdemeanor. </w:t>
      </w:r>
      <w:r>
        <w:t>((</w:t>
      </w:r>
      <w:r>
        <w:rPr>
          <w:strike/>
        </w:rPr>
        <w:t xml:space="preserve">For the purposes of this subsection, a person is not considered to be eligible to reinstate his or her driver's license or driving privilege if the person is eligible to obtain an ignition interlock driver's license but did not obtain such a license.</w:t>
      </w:r>
      <w:r>
        <w:t>))</w:t>
      </w:r>
    </w:p>
    <w:p>
      <w:pPr>
        <w:spacing w:before="0" w:after="0" w:line="408" w:lineRule="exact"/>
        <w:ind w:left="0" w:right="0" w:firstLine="576"/>
        <w:jc w:val="left"/>
      </w:pPr>
      <w:r>
        <w:rPr>
          <w:u w:val="single"/>
        </w:rPr>
        <w:t xml:space="preserve">(d) A person who violates this section when his or her driver's license or driving privilege is, at the time of the violation, suspended or revoked solely because (i) the department receives notice from another state under Article IV of the nonresident violator compact under RCW 46.23.010 or from a jurisdiction that has entered into an agreement with the department under RCW 46.23.020, other than for a standing, stopping, or parking violation as provided in RCW 46.20.289(1)(b); (ii) the person has committed an offense in another state that, if committed in this state, would not be grounds for the suspension or revocation of the person's driver's license; (iii) the person has been suspended or revoked by reason of one or more of the items listed in (b) or (c) of this subsection or for failure to respond to a notice of traffic infraction, failure to appear at a requested hearing for a noncriminal moving violation, or violation of a written promise to appear in court for a notice of infraction, but was eligible to reinstate his or her driver's license or driving privilege at the time of the violation; or (iv) the person has received traffic citations or notices of traffic infraction that have resulted in a suspension under RCW 46.20.267 relating to intermediate drivers' licenses, or any combination of (d)(i) through (iv) of this subsection, has committed driving while license suspended or revoked in the fourth degree, a traffic infraction subject to a penalty of two hundred fifty dollars. If the person appears in person before the court or submits by mail written proof that he or she has reinstated his or her license after being cited, the court shall reduce the penalty to fifty dollars.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an infraction</w:t>
      </w:r>
      <w:r>
        <w:rPr/>
        <w:t xml:space="preserve"> under subsection (1)</w:t>
      </w:r>
      <w:r>
        <w:t>((</w:t>
      </w:r>
      <w:r>
        <w:rPr>
          <w:strike/>
        </w:rPr>
        <w:t xml:space="preserve">(c)</w:t>
      </w:r>
      <w:r>
        <w:t>))</w:t>
      </w:r>
      <w:r>
        <w:rPr/>
        <w:t xml:space="preserve"> </w:t>
      </w:r>
      <w:r>
        <w:rPr>
          <w:u w:val="single"/>
        </w:rPr>
        <w:t xml:space="preserve">(d)</w:t>
      </w:r>
      <w:r>
        <w:rPr/>
        <w:t xml:space="preserve">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w:t>
      </w:r>
      <w:r>
        <w:rPr>
          <w:u w:val="single"/>
        </w:rPr>
        <w:t xml:space="preserve">,</w:t>
      </w:r>
      <w:r>
        <w:rPr/>
        <w:t xml:space="preserve"> </w:t>
      </w:r>
      <w:r>
        <w:t>((</w:t>
      </w:r>
      <w:r>
        <w:rPr>
          <w:strike/>
        </w:rPr>
        <w:t xml:space="preserve">or</w:t>
      </w:r>
      <w:r>
        <w:t>))</w:t>
      </w:r>
      <w:r>
        <w:rPr/>
        <w:t xml:space="preserve"> (b)</w:t>
      </w:r>
      <w:r>
        <w:rPr>
          <w:u w:val="single"/>
        </w:rPr>
        <w:t xml:space="preserve">, or (c)</w:t>
      </w:r>
      <w:r>
        <w:rPr/>
        <w:t xml:space="preserve">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(b), or (c)</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(b), and (c)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w:t>
      </w:r>
      <w:r>
        <w:t>((</w:t>
      </w:r>
      <w:r>
        <w:rPr>
          <w:strike/>
        </w:rPr>
        <w:t xml:space="preserve">appear or pay a traffic ticket</w:t>
      </w:r>
      <w:r>
        <w:t>))</w:t>
      </w:r>
      <w:r>
        <w:rPr/>
        <w:t xml:space="preserve"> </w:t>
      </w:r>
      <w:r>
        <w:rPr>
          <w:u w:val="single"/>
        </w:rPr>
        <w:t xml:space="preserve">comply with the terms of a notice of a criminal complaint or criminal citation</w:t>
      </w:r>
      <w:r>
        <w:rPr/>
        <w:t xml:space="preserve"> under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(b), or (c)</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(b), or (c)</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(b), and (c)</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Ten</w:t>
      </w:r>
      <w:r>
        <w:rPr/>
        <w:t xml:space="preserve">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Six dollars and fifty cents</w:t>
      </w:r>
      <w:r>
        <w:rPr/>
        <w:t xml:space="preserve"> in the state general fund </w:t>
      </w:r>
      <w:r>
        <w:rPr>
          <w:u w:val="single"/>
        </w:rPr>
        <w:t xml:space="preserve">and four dollars in the driver licensing technology support account created under section 16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2018 c ... s 11 (section 11 of this act)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w:t>
      </w:r>
      <w:r>
        <w:t>((</w:t>
      </w:r>
      <w:r>
        <w:rPr>
          <w:strike/>
        </w:rPr>
        <w:t xml:space="preserve">For those infractions subject to suspension under RCW 46.20.289, the court shall notify the department of the person's failure to meet the conditions of the plan, and the department shall suspend the person's driver's license or driving privileges.</w:t>
      </w:r>
      <w:r>
        <w:t>))</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t>((</w:t>
      </w:r>
      <w:r>
        <w:rPr>
          <w:strike/>
        </w:rPr>
        <w:t xml:space="preserve">For those infractions subject to suspension under RCW 46.20.289, the court shall notify the department of the person's delinquency, and the department shall suspend the person's driver's license or driving privileges.</w:t>
      </w:r>
      <w:r>
        <w:t>))</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Ten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Six dollars and fifty cents in the state general fund and four dollars in the driver licensing technology support account created under section 16 of this act.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w:t>
      </w:r>
      <w:r>
        <w:t>((</w:t>
      </w:r>
      <w:r>
        <w:rPr>
          <w:strike/>
        </w:rPr>
        <w:t xml:space="preserve">a traffic infraction or</w:t>
      </w:r>
      <w:r>
        <w:t>))</w:t>
      </w:r>
      <w:r>
        <w:rPr/>
        <w:t xml:space="preserve"> a traffic-related criminal complaint </w:t>
      </w:r>
      <w:r>
        <w:t>((</w:t>
      </w:r>
      <w:r>
        <w:rPr>
          <w:strike/>
        </w:rPr>
        <w:t xml:space="preserve">willfully fails to appear at a requested hearing for a moving violation,</w:t>
      </w:r>
      <w:r>
        <w:t>))</w:t>
      </w:r>
      <w:r>
        <w:rPr/>
        <w:t xml:space="preserve"> or </w:t>
      </w:r>
      <w:r>
        <w:rPr>
          <w:u w:val="single"/>
        </w:rPr>
        <w:t xml:space="preserve">criminal citation</w:t>
      </w:r>
      <w:r>
        <w:rPr/>
        <w:t xml:space="preserve"> fails to comply with the terms of </w:t>
      </w:r>
      <w:r>
        <w:t>((</w:t>
      </w:r>
      <w:r>
        <w:rPr>
          <w:strike/>
        </w:rPr>
        <w:t xml:space="preserve">a notice of infraction for a moving violation or a traffic-related criminal</w:t>
      </w:r>
      <w:r>
        <w:t>))</w:t>
      </w:r>
      <w:r>
        <w:rPr/>
        <w:t xml:space="preserve"> </w:t>
      </w:r>
      <w:r>
        <w:rPr>
          <w:u w:val="single"/>
        </w:rPr>
        <w:t xml:space="preserve">the</w:t>
      </w:r>
      <w:r>
        <w:rPr/>
        <w:t xml:space="preserve"> complaint, the court with jurisdiction over the </w:t>
      </w:r>
      <w:r>
        <w:t>((</w:t>
      </w:r>
      <w:r>
        <w:rPr>
          <w:strike/>
        </w:rPr>
        <w:t xml:space="preserve">traffic infraction or</w:t>
      </w:r>
      <w:r>
        <w:t>))</w:t>
      </w:r>
      <w:r>
        <w:rPr/>
        <w:t xml:space="preserve"> traffic-related criminal complaint </w:t>
      </w:r>
      <w:r>
        <w:rPr>
          <w:u w:val="single"/>
        </w:rPr>
        <w:t xml:space="preserve">or criminal citation</w:t>
      </w:r>
      <w:r>
        <w:rPr/>
        <w:t xml:space="preserve"> shall promptly give notice of such fact to the department of licensing. Whenever thereafter the case in which the defendant failed to </w:t>
      </w:r>
      <w:r>
        <w:t>((</w:t>
      </w:r>
      <w:r>
        <w:rPr>
          <w:strike/>
        </w:rPr>
        <w:t xml:space="preserve">appear or</w:t>
      </w:r>
      <w:r>
        <w:t>))</w:t>
      </w:r>
      <w:r>
        <w:rPr/>
        <w:t xml:space="preserve"> comply is adjudicated, the court hearing the case shall promptly file with the department a certificate showing that the case has been adjudicated. </w:t>
      </w:r>
      <w:r>
        <w:t>((</w:t>
      </w:r>
      <w:r>
        <w:rPr>
          <w:strike/>
        </w:rPr>
        <w:t xml:space="preserve">For the purposes of this section, "moving violation" is defined by rule pursuant to RCW 46.20.2891.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convene a work group to develop low-cost, efficient options to administratively lift the driver's license suspension or revocation of persons whose licenses are suspended solely as a result of a failure to respond to a notice of a traffic infraction for a moving violation, a failure to appear at a requested hearing for a moving violation, or a violation of a written promise to appear in court for a notice of infraction for a moving violation. The membership of the work group must include at a minimum, a representative from the administrative office of the courts, a representative from the Washington association of prosecuting attorneys, a representative of the courts of limited jurisdiction, and any other representative of a relevant stakeholder group the department deems appropriate to the work of the group. The work group must report back to the legislature by December 1, 2018, with any recommended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In addition to any amount proscribed by rule under subsection (1)(a) of this section as an assessment on traffic infractions dedicated for the judicial information system, there shall be assessed two dollars on each traffic infraction. The additional two dollars shall be forwarded to the state treasurer for deposit in the driver licensing technology support account, created under section 16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account may be spent only after appropriation. Expenditures from the account may be used only for supporting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one dollar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such moneys to the credit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2891</w:t>
      </w:r>
      <w:r>
        <w:rPr/>
        <w:t xml:space="preserve"> (Moving violation, definition by rule</w:t>
      </w:r>
      <w:r>
        <w:rPr>
          <w:rFonts w:ascii="Times New Roman" w:hAnsi="Times New Roman"/>
        </w:rPr>
        <w:t xml:space="preserve">—</w:t>
      </w:r>
      <w:r>
        <w:rPr/>
        <w:t xml:space="preserve">Notice) and 2012 c 82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April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12, 13, and 18 of this act take effect July 1, 2019.</w:t>
      </w:r>
    </w:p>
    <w:p/>
    <w:p>
      <w:pPr>
        <w:jc w:val="center"/>
      </w:pPr>
      <w:r>
        <w:rPr>
          <w:b/>
        </w:rPr>
        <w:t>--- END ---</w:t>
      </w:r>
    </w:p>
    <w:sectPr>
      <w:pgNumType w:start="1"/>
      <w:footerReference xmlns:r="http://schemas.openxmlformats.org/officeDocument/2006/relationships" r:id="R5a52c97c229745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6047621194fb3" /><Relationship Type="http://schemas.openxmlformats.org/officeDocument/2006/relationships/footer" Target="/word/footer.xml" Id="R5a52c97c22974514" /></Relationships>
</file>