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c9a0254e84647" /></Relationships>
</file>

<file path=word/document.xml><?xml version="1.0" encoding="utf-8"?>
<w:document xmlns:w="http://schemas.openxmlformats.org/wordprocessingml/2006/main">
  <w:body>
    <w:p>
      <w:r>
        <w:t>S-4622.1</w:t>
      </w:r>
    </w:p>
    <w:p>
      <w:pPr>
        <w:jc w:val="center"/>
      </w:pPr>
      <w:r>
        <w:t>_______________________________________________</w:t>
      </w:r>
    </w:p>
    <w:p/>
    <w:p>
      <w:pPr>
        <w:jc w:val="center"/>
      </w:pPr>
      <w:r>
        <w:rPr>
          <w:b/>
        </w:rPr>
        <w:t>SUBSTITUTE SENATE BILL 6223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Carlyle, O'Ban, Walsh, Frockt, Darneille, Zeiger, Palumbo, Hunt, Kuderer, Wellman, and Liias)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vulnerable children and youth from preschool to postsecondary education;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with this act to powerfully leverage current collaboration and investments to align services, outcome measures, accountability, and resources to facilitate educational equity by 2027 for children and youth in foster care and children and youth experiencing homelessness. The goal of this effort is that children and youth in foster care and children and youth experiencing homelessness achieve educational outcomes at the same rate as their general student population peers throughout the educational continuum from preschool to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"children and youth in foster care" means children and youth under the placement and care authority of the department of children, youth, and families, a federally recognized tribe, or another child-placing agency; and children and youth who have experienced foster care and have achieved permanency.</w:t>
      </w:r>
    </w:p>
    <w:p>
      <w:pPr>
        <w:spacing w:before="0" w:after="0" w:line="408" w:lineRule="exact"/>
        <w:ind w:left="0" w:right="0" w:firstLine="576"/>
        <w:jc w:val="left"/>
      </w:pPr>
      <w:r>
        <w:rPr/>
        <w:t xml:space="preserve">(2) The department of children, youth, and families,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 and</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(f)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(3)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(4) By December 17, 2018, the work group must provide a report to the legislature on its analysis as described under this section,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
      <w:pPr>
        <w:jc w:val="center"/>
      </w:pPr>
      <w:r>
        <w:rPr>
          <w:b/>
        </w:rPr>
        <w:t>--- END ---</w:t>
      </w:r>
    </w:p>
    <w:sectPr>
      <w:pgNumType w:start="1"/>
      <w:footerReference xmlns:r="http://schemas.openxmlformats.org/officeDocument/2006/relationships" r:id="R16fa70e34f5949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314ecabbc465f" /><Relationship Type="http://schemas.openxmlformats.org/officeDocument/2006/relationships/footer" Target="/word/footer.xml" Id="R16fa70e34f5949df" /></Relationships>
</file>