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061103f6af4d25" /></Relationships>
</file>

<file path=word/document.xml><?xml version="1.0" encoding="utf-8"?>
<w:document xmlns:w="http://schemas.openxmlformats.org/wordprocessingml/2006/main">
  <w:body>
    <w:p>
      <w:r>
        <w:t>S-3540.1</w:t>
      </w:r>
    </w:p>
    <w:p>
      <w:pPr>
        <w:jc w:val="center"/>
      </w:pPr>
      <w:r>
        <w:t>_______________________________________________</w:t>
      </w:r>
    </w:p>
    <w:p/>
    <w:p>
      <w:pPr>
        <w:jc w:val="center"/>
      </w:pPr>
      <w:r>
        <w:rPr>
          <w:b/>
        </w:rPr>
        <w:t>SENATE BILL 6223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O'Ban, Walsh, Frockt, Darneille, Zeiger, Palumbo, Hunt, Kuderer, Wellman, and Liias</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children and youth from preschool to postsecondary education;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children and youth impacted by the foster care system continue to experience worse educational outcomes compared to their peers who do not experience foster care. Trauma and loss, changes in homes and schools, and a lack of early childhood education cause them to lag behind their peers. Foster youth experience school changes twenty-eight percent more than children with no history in the foster care system, disrupting academic progress. Children and youth in foster care experience disproportionate suspension and expulsion rates and require special education services at four times the rate of their peers. As a result, only forty-three percent of Washington youth in foster care graduate from high school on time as compared to seventy-eight percent of their peers. Fewer than three percent of foster youth nationally earn a four-year college degree as compared to twenty-eight percent of their peers. Additionally, children and youth of color are disproportionately represented in foster care and achieve educational outcomes at significantly lower rates than their white peers. Foster care alumni who do not achieve these educational outcomes experience high rates of unemployment, poverty, homelessness, and incarceration.</w:t>
      </w:r>
    </w:p>
    <w:p>
      <w:pPr>
        <w:spacing w:before="0" w:after="0" w:line="408" w:lineRule="exact"/>
        <w:ind w:left="0" w:right="0" w:firstLine="576"/>
        <w:jc w:val="left"/>
      </w:pPr>
      <w:r>
        <w:rPr/>
        <w:t xml:space="preserve">(b) The legislature further finds that students experiencing homelessness face similar challenges and negative educational outcomes as their peers in foster care. Homeless students may also be former foster youth, or foster youth may be formerly homeless students.</w:t>
      </w:r>
    </w:p>
    <w:p>
      <w:pPr>
        <w:spacing w:before="0" w:after="0" w:line="408" w:lineRule="exact"/>
        <w:ind w:left="0" w:right="0" w:firstLine="576"/>
        <w:jc w:val="left"/>
      </w:pPr>
      <w:r>
        <w:rPr/>
        <w:t xml:space="preserve">(c) Despite these odds, children and youth in foster care want to and deserve to have the opportunity to succeed in school. In response, the legislature intends to provide an equitable education to all foster children and youth regardless of setting, placement permanency, or current or potential involvement with the juvenile justice system.</w:t>
      </w:r>
    </w:p>
    <w:p>
      <w:pPr>
        <w:spacing w:before="0" w:after="0" w:line="408" w:lineRule="exact"/>
        <w:ind w:left="0" w:right="0" w:firstLine="576"/>
        <w:jc w:val="left"/>
      </w:pPr>
      <w:r>
        <w:rPr/>
        <w:t xml:space="preserve">(2) The legislature also finds that, over the past decade, it has focused on advancing educational outcomes of foster youth, leading to the development of an array of programs to improve educational outcomes. Washington has been a leader in addressing data sharing, coordinated service delivery, and the development of targeted financial aid and student support programs. Recent legislation in 2016 required coordinating certain services and programs to improve educational outcomes. On the federal level, the every student succeeds act of 2015 and the fostering connections act of 2008 require state child welfare and education agencies to collaborate to support educational outcomes, school stability, transportation, and mandatory data sharing and reporting.</w:t>
      </w:r>
    </w:p>
    <w:p>
      <w:pPr>
        <w:spacing w:before="0" w:after="0" w:line="408" w:lineRule="exact"/>
        <w:ind w:left="0" w:right="0" w:firstLine="576"/>
        <w:jc w:val="left"/>
      </w:pPr>
      <w:r>
        <w:rPr/>
        <w:t xml:space="preserve">(3) Therefore, the legislature intends with this act to powerfully leverage current collaboration and investments to align services, outcome measures, accountability, and resources to achieve educational equity for children and youth in foster care by 2027. The goal of this effort is that children and youth in foster care achieve educational outcomes at the same rate as their general student population peers throughout the educational continuum from preschool to postsecondary education. Where possible, this collaboration should include an analysis of where the foster care continuum could align with the homeless youth continuum.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and the student achievement council must convene a work group with aligned nongovernmental agencies to create a plan for children and youth in foster care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care,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foster parents and relative caregivers, birth parents, caseworkers, school districts and educators, early learning providers, and federally recognized tribes;</w:t>
      </w:r>
    </w:p>
    <w:p>
      <w:pPr>
        <w:spacing w:before="0" w:after="0" w:line="408" w:lineRule="exact"/>
        <w:ind w:left="0" w:right="0" w:firstLine="576"/>
        <w:jc w:val="left"/>
      </w:pPr>
      <w:r>
        <w:rPr/>
        <w:t xml:space="preserve">(e) Make recommendations for an optimal continuum of education support services to foster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equity in education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children regardless of status;</w:t>
      </w:r>
    </w:p>
    <w:p>
      <w:pPr>
        <w:spacing w:before="0" w:after="0" w:line="408" w:lineRule="exact"/>
        <w:ind w:left="0" w:right="0" w:firstLine="576"/>
        <w:jc w:val="left"/>
      </w:pPr>
      <w:r>
        <w:rPr/>
        <w:t xml:space="preserve">(vi) Detail support structure that will ensure that educational records, educational needs, individualized education plans, credits, and other records will follow the children and youth when they transition from district to district or to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The work group must provide a report on its analysis as described under this section, the recommended plan, and any legislative and administrative changes needed to facilitate educational equity for children and youth in foster care with their general student population peers by 2027 to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7d4d9616be24d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0d316f5374d93" /><Relationship Type="http://schemas.openxmlformats.org/officeDocument/2006/relationships/footer" Target="/word/footer.xml" Id="Rb7d4d9616be24d8f" /></Relationships>
</file>