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218dae3b424805" /></Relationships>
</file>

<file path=word/document.xml><?xml version="1.0" encoding="utf-8"?>
<w:document xmlns:w="http://schemas.openxmlformats.org/wordprocessingml/2006/main">
  <w:body>
    <w:p>
      <w:r>
        <w:t>S-3498.1</w:t>
      </w:r>
    </w:p>
    <w:p>
      <w:pPr>
        <w:jc w:val="center"/>
      </w:pPr>
      <w:r>
        <w:t>_______________________________________________</w:t>
      </w:r>
    </w:p>
    <w:p/>
    <w:p>
      <w:pPr>
        <w:jc w:val="center"/>
      </w:pPr>
      <w:r>
        <w:rPr>
          <w:b/>
        </w:rPr>
        <w:t>SENATE BILL 6261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Wellman, Keiser, McCoy, Kuderer, Hasegawa, Hunt, and Conway</w:t>
      </w:r>
    </w:p>
    <w:p/>
    <w:p>
      <w:r>
        <w:rPr>
          <w:t xml:space="preserve">Read first time 01/11/18.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fully funding and expanding eligibility for the state need grant; amending RCW 28B.92.060;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need grant is essential to helping the state's lowest-income undergraduate students pursue degrees or retrain for new careers. Yet, paying for college remains difficult for middle and lower income families. It is the intent of the legislature to expand the number of students eligible for the state need grant and fully fund the program so that more families may access higher education opportunities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w:t>
      </w:r>
      <w:r>
        <w:rPr>
          <w:u w:val="single"/>
        </w:rPr>
        <w:t xml:space="preserve">. Families that earn up to one hundred percent of the state's median family income are eligible</w:t>
      </w:r>
      <w:r>
        <w:rPr/>
        <w:t xml:space="preserve">;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six million dollars, or as much thereof as may be necessary, is appropriated for the fiscal year ending June 30, 2019, from the general fund to the office of student financial assistance for the purposes of this act.</w:t>
      </w:r>
    </w:p>
    <w:p/>
    <w:p>
      <w:pPr>
        <w:jc w:val="center"/>
      </w:pPr>
      <w:r>
        <w:rPr>
          <w:b/>
        </w:rPr>
        <w:t>--- END ---</w:t>
      </w:r>
    </w:p>
    <w:sectPr>
      <w:pgNumType w:start="1"/>
      <w:footerReference xmlns:r="http://schemas.openxmlformats.org/officeDocument/2006/relationships" r:id="Ree75f403db5644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2fd757a4c140c5" /><Relationship Type="http://schemas.openxmlformats.org/officeDocument/2006/relationships/footer" Target="/word/footer.xml" Id="Ree75f403db56442c" /></Relationships>
</file>