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581ac469b41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Chase, Van De Wege, Conway, Keiser, Liias, Frockt, Hasegawa, Hunt, Palumbo,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adding a new section to chapter 77.15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In order to facilitate the enforcement of RCW 77.15.740, provide extra protection to newborn calves, and protect critical feeding areas, and subject to the availability of amounts appropriated for this specific purpose, the department must conduct a minimum of one hundred patrols during the twenty-two most active weeks for southern resident killer whale viewing activity each year. In doing so, the department must prioritize Wednesday through Monday patrols when recreational whale watching activity is most active.</w:t>
      </w:r>
    </w:p>
    <w:p>
      <w:pPr>
        <w:spacing w:before="0" w:after="0" w:line="408" w:lineRule="exact"/>
        <w:ind w:left="0" w:right="0" w:firstLine="576"/>
        <w:jc w:val="left"/>
      </w:pPr>
      <w:r>
        <w:rPr/>
        <w:t xml:space="preserve">(2) The legislature recognizes that weather and sea conditions may impact the department's ability to conduct the number of patrols identified in subsection (1) of this section. If the department does not complete the identified number of patrols during a given annual period, the department must provide a written explanation for, and documentation of, the reasons for the missed patrols to the commission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w:t>
      </w:r>
      <w:r>
        <w:rPr>
          <w:u w:val="single"/>
        </w:rPr>
        <w:t xml:space="preserve">, aircraft,</w:t>
      </w:r>
      <w:r>
        <w:rPr/>
        <w:t xml:space="preserve">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Cause a vessel to exceed a speed over ground of seven knots within four hundred yards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u w:val="single"/>
        </w:rPr>
        <w:t xml:space="preserve">(g) A vessel or aircraft operator is not aware of their proximity to a southern resident orca due to lack of sightline, difficulty to gauge distance due to surrounding conditions or faulty equipment, or a southern resident orca approaches a vessel causing a violation of this section, all related fines must be waived.</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coordinate with appropriate federal, tribal, county,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December 31, 2018.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June 30, 2019.</w:t>
      </w:r>
    </w:p>
    <w:p/>
    <w:p>
      <w:pPr>
        <w:jc w:val="center"/>
      </w:pPr>
      <w:r>
        <w:rPr>
          <w:b/>
        </w:rPr>
        <w:t>--- END ---</w:t>
      </w:r>
    </w:p>
    <w:sectPr>
      <w:pgNumType w:start="1"/>
      <w:footerReference xmlns:r="http://schemas.openxmlformats.org/officeDocument/2006/relationships" r:id="R79b6a12aad21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36dfb10ab4387" /><Relationship Type="http://schemas.openxmlformats.org/officeDocument/2006/relationships/footer" Target="/word/footer.xml" Id="R79b6a12aad214e5a" /></Relationships>
</file>