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4aca09b1b46bb" /></Relationships>
</file>

<file path=word/document.xml><?xml version="1.0" encoding="utf-8"?>
<w:document xmlns:w="http://schemas.openxmlformats.org/wordprocessingml/2006/main">
  <w:body>
    <w:p>
      <w:r>
        <w:t>S-3696.1</w:t>
      </w:r>
    </w:p>
    <w:p>
      <w:pPr>
        <w:jc w:val="center"/>
      </w:pPr>
      <w:r>
        <w:t>_______________________________________________</w:t>
      </w:r>
    </w:p>
    <w:p/>
    <w:p>
      <w:pPr>
        <w:jc w:val="center"/>
      </w:pPr>
      <w:r>
        <w:rPr>
          <w:b/>
        </w:rPr>
        <w:t>SENATE BILL 6303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and Sheldon</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vehicle valuation method for a regional transit authority collecting a motor vehicle excise tax that is based on Kelley blue book or national automobile dealers association values; amending RCW 82.44.135; adding a new section to chapter 81.112 RCW;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 the authority has implemented a market value adjustment program as directed in section 2 of this act.</w:t>
      </w:r>
    </w:p>
    <w:p>
      <w:pPr>
        <w:spacing w:before="0" w:after="0" w:line="408" w:lineRule="exact"/>
        <w:ind w:left="0" w:right="0" w:firstLine="576"/>
        <w:jc w:val="left"/>
      </w:pPr>
      <w:r>
        <w:rPr>
          <w:u w:val="single"/>
        </w:rPr>
        <w:t xml:space="preserve">(3) Any contract entered into under this section must provide that the department receives amounts sufficient to fully cover the costs applicable to the tax collection and market value adjustment process, including (a) customer service-related costs, (b) information technology-related costs, (c) public announcement and education costs, and (d) any liability or other related risk assessment costs. The contract must also provide that any unforeseen future administrative costs are borne by the regional transit authority.</w:t>
      </w:r>
    </w:p>
    <w:p>
      <w:pPr>
        <w:spacing w:before="0" w:after="0" w:line="408" w:lineRule="exact"/>
        <w:ind w:left="0" w:right="0" w:firstLine="576"/>
        <w:jc w:val="left"/>
      </w:pPr>
      <w:r>
        <w:rPr>
          <w:u w:val="single"/>
        </w:rPr>
        <w:t xml:space="preserve">(4) 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2018.</w:t>
      </w:r>
    </w:p>
    <w:p>
      <w:pPr>
        <w:spacing w:before="0" w:after="0" w:line="408" w:lineRule="exact"/>
        <w:ind w:left="0" w:right="0" w:firstLine="576"/>
        <w:jc w:val="left"/>
      </w:pPr>
      <w:r>
        <w:rPr/>
        <w:t xml:space="preserve">(2) Under the market value adjustment program, the authority must provide a credit against the total motor vehicle excise tax due in an amount equal to the tax due calculated using the vehicle valuation schedule in effect on the effective date of this section, less an amount calculated using an assumed motor vehicle excise tax of 0.5 percent and the value of a motor vehicle based on base model Kelley blue book values or national automobile dealers association values, whichever is lower, if the resulting difference is positive.</w:t>
      </w:r>
    </w:p>
    <w:p>
      <w:pPr>
        <w:spacing w:before="0" w:after="0" w:line="408" w:lineRule="exact"/>
        <w:ind w:left="0" w:right="0" w:firstLine="576"/>
        <w:jc w:val="left"/>
      </w:pPr>
      <w:r>
        <w:rPr/>
        <w:t xml:space="preserve">(3) Except for the property tax authorized in RCW 81.104.175 and for project schedule adjustments, the program may be funded by any resources available to the authority.</w:t>
      </w:r>
    </w:p>
    <w:p>
      <w:pPr>
        <w:spacing w:before="0" w:after="0" w:line="408" w:lineRule="exact"/>
        <w:ind w:left="0" w:right="0" w:firstLine="576"/>
        <w:jc w:val="left"/>
      </w:pPr>
      <w:r>
        <w:rPr/>
        <w:t xml:space="preserve">(4) The program must provide credit retroactive to the date that the authority first imposed the tax under RCW 81.104.160(1). The authority, in consultation with the department of licensing, must develop a system to issue refunds of credits with respect to vehicles for which the registrations were renewed before January 1, 2019.</w:t>
      </w:r>
    </w:p>
    <w:p>
      <w:pPr>
        <w:spacing w:before="0" w:after="0" w:line="408" w:lineRule="exact"/>
        <w:ind w:left="0" w:right="0" w:firstLine="576"/>
        <w:jc w:val="left"/>
      </w:pPr>
      <w:r>
        <w:rPr/>
        <w:t xml:space="preserve">(5) The program must be implemented in a manner that allows the delivery of the system and financing plan approved by the authority's voters in 2017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(a)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(b)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(c) Revising project contingency budgets, if practicable.</w:t>
      </w:r>
    </w:p>
    <w:p>
      <w:pPr>
        <w:spacing w:before="0" w:after="0" w:line="408" w:lineRule="exact"/>
        <w:ind w:left="0" w:right="0" w:firstLine="576"/>
        <w:jc w:val="left"/>
      </w:pPr>
      <w:r>
        <w:rPr/>
        <w:t xml:space="preserve">(6) Until the plan has been completed, the authority must submit, in compliance with RCW 43.01.036,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must be construed to preclude a regional transit authority from defeasing any outstanding bond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vehicle registrations that are due or become due on or after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0a73ac743cf4a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e7612ec6e44d4" /><Relationship Type="http://schemas.openxmlformats.org/officeDocument/2006/relationships/footer" Target="/word/footer.xml" Id="Rb0a73ac743cf4a26" /></Relationships>
</file>