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c9664aba949d7" /></Relationships>
</file>

<file path=word/document.xml><?xml version="1.0" encoding="utf-8"?>
<w:document xmlns:w="http://schemas.openxmlformats.org/wordprocessingml/2006/main">
  <w:body>
    <w:p>
      <w:r>
        <w:t>S-3707.1</w:t>
      </w:r>
    </w:p>
    <w:p>
      <w:pPr>
        <w:jc w:val="center"/>
      </w:pPr>
      <w:r>
        <w:t>_______________________________________________</w:t>
      </w:r>
    </w:p>
    <w:p/>
    <w:p>
      <w:pPr>
        <w:jc w:val="center"/>
      </w:pPr>
      <w:r>
        <w:rPr>
          <w:b/>
        </w:rPr>
        <w:t>SENATE BILL 6307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Zeiger</w:t>
      </w:r>
    </w:p>
    <w:p/>
    <w:p>
      <w:r>
        <w:rPr>
          <w:t xml:space="preserve">Read first time 01/11/18.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nonrural data centers;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contained in sections 3 and 4, chapter . . . , Laws of 2018 (sections 3 and 4 of this act). This performance statement is only intended to be used for subsequent evaluation of the tax preferences in sections 3 and 4, chapter . . ., Laws of 2018 (sections 3 and 4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sections 3 and 4, chapter . . ., Laws of 2018 (sections 3 and 4 of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sales and use tax exemptions in sections 3 and 4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(2)(c)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(2)(c) have been met.</w:t>
      </w:r>
    </w:p>
    <w:p>
      <w:pPr>
        <w:spacing w:before="0" w:after="0" w:line="408" w:lineRule="exact"/>
        <w:ind w:left="0" w:right="0" w:firstLine="576"/>
        <w:jc w:val="left"/>
      </w:pPr>
      <w:r>
        <w:rPr/>
        <w:t xml:space="preserve">(d)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(e)(i)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(2)(e):</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Exemption certificates issued under this section expire three years after the date of issuance, unless the server equipment has been installed. The qualifying business must provide documentation, as required by the department, to substantiate that the server equipment has been installed that includes the contract for relevant services or a power bill.</w:t>
      </w:r>
    </w:p>
    <w:p>
      <w:pPr>
        <w:spacing w:before="0" w:after="0" w:line="408" w:lineRule="exact"/>
        <w:ind w:left="0" w:right="0" w:firstLine="576"/>
        <w:jc w:val="left"/>
      </w:pPr>
      <w:r>
        <w:rPr/>
        <w:t xml:space="preserve">(4) In the case of a change in control of either a qualifying business or tenant, it is the responsibility of the qualifying business or tenant to notify the department of such change within the tax year of the transaction in order to be issued new certificates and maintain eligibility of the exemptions.</w:t>
      </w:r>
    </w:p>
    <w:p>
      <w:pPr>
        <w:spacing w:before="0" w:after="0" w:line="408" w:lineRule="exact"/>
        <w:ind w:left="0" w:right="0" w:firstLine="576"/>
        <w:jc w:val="left"/>
      </w:pPr>
      <w:r>
        <w:rPr/>
        <w:t xml:space="preserve">(5)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(6) The pro rata portion of previously exempted sales and use taxes are immediately due and payable for a qualifying business or qualifying tenant that does not meet the minimum electrical capacity requirements in subsection (2)(d) of this section for a period of at least three years from the date of installation of the server equipment.</w:t>
      </w:r>
    </w:p>
    <w:p>
      <w:pPr>
        <w:spacing w:before="0" w:after="0" w:line="408" w:lineRule="exact"/>
        <w:ind w:left="0" w:right="0" w:firstLine="576"/>
        <w:jc w:val="left"/>
      </w:pPr>
      <w:r>
        <w:rPr/>
        <w:t xml:space="preserve">(7)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(8)(a)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(9).</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(10).</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(10)(f),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(10)(f)(iii),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(11)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as provided in section 3 of this act.</w:t>
      </w:r>
    </w:p>
    <w:p>
      <w:pPr>
        <w:spacing w:before="0" w:after="0" w:line="408" w:lineRule="exact"/>
        <w:ind w:left="0" w:right="0" w:firstLine="576"/>
        <w:jc w:val="left"/>
      </w:pPr>
      <w:r>
        <w:rPr/>
        <w:t xml:space="preserve">(3) The exemption provided in this section does not apply to any person for whom the exemption under section 3(9) of this act does not apply.</w:t>
      </w:r>
    </w:p>
    <w:p>
      <w:pPr>
        <w:spacing w:before="0" w:after="0" w:line="408" w:lineRule="exact"/>
        <w:ind w:left="0" w:right="0" w:firstLine="576"/>
        <w:jc w:val="left"/>
      </w:pPr>
      <w:r>
        <w:rPr/>
        <w:t xml:space="preserve">(4) The definitions and requirements in section 3 of this act apply to this section.</w:t>
      </w:r>
    </w:p>
    <w:p/>
    <w:p>
      <w:pPr>
        <w:jc w:val="center"/>
      </w:pPr>
      <w:r>
        <w:rPr>
          <w:b/>
        </w:rPr>
        <w:t>--- END ---</w:t>
      </w:r>
    </w:p>
    <w:sectPr>
      <w:pgNumType w:start="1"/>
      <w:footerReference xmlns:r="http://schemas.openxmlformats.org/officeDocument/2006/relationships" r:id="Re396159e7e4348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533316ce24d84" /><Relationship Type="http://schemas.openxmlformats.org/officeDocument/2006/relationships/footer" Target="/word/footer.xml" Id="Re396159e7e43486b" /></Relationships>
</file>