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4e49539042ba" /></Relationships>
</file>

<file path=word/document.xml><?xml version="1.0" encoding="utf-8"?>
<w:document xmlns:w="http://schemas.openxmlformats.org/wordprocessingml/2006/main">
  <w:body>
    <w:p>
      <w:r>
        <w:t>S-3380.1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Zeiger, Hobbs, Wellman, and Hasegawa</w:t>
      </w:r>
    </w:p>
    <w:p/>
    <w:p>
      <w:r>
        <w:rPr>
          <w:t xml:space="preserve">Read first time 01/15/18.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career and technical education in alternative learning experience programs; and amending RCW 28A.232.020.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232</w:t>
      </w:r>
      <w:r>
        <w:rPr/>
        <w:t xml:space="preserve">.</w:t>
      </w:r>
      <w:r>
        <w:t xml:space="preserve">020</w:t>
      </w:r>
      <w:r>
        <w:rPr/>
        <w:t xml:space="preserve"> and 2013 2nd sp.s. c 18 s 503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the allocation provided under subsection (1) of this section, if the course is a vocational alternative learning experience course then the allocated state funding shall also include vocational program funding enhancements.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27ed144f6a146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3159099194612" /><Relationship Type="http://schemas.openxmlformats.org/officeDocument/2006/relationships/footer" Target="/word/footer.xml" Id="R527ed144f6a146aa" /></Relationships>
</file>