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1aed760ff4aea" /></Relationships>
</file>

<file path=word/document.xml><?xml version="1.0" encoding="utf-8"?>
<w:document xmlns:w="http://schemas.openxmlformats.org/wordprocessingml/2006/main">
  <w:body>
    <w:p>
      <w:r>
        <w:t>S-4517.2</w:t>
      </w:r>
    </w:p>
    <w:p>
      <w:pPr>
        <w:jc w:val="center"/>
      </w:pPr>
      <w:r>
        <w:t>_______________________________________________</w:t>
      </w:r>
    </w:p>
    <w:p/>
    <w:p>
      <w:pPr>
        <w:jc w:val="center"/>
      </w:pPr>
      <w:r>
        <w:rPr>
          <w:b/>
        </w:rPr>
        <w:t>SUBSTITUTE SENATE BILL 6419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Rolfes, Zeiger, Billig, Wellman, Conway, Darneille, Kuderer, Palumbo,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the Washington early childhood education and assistance program; amending RCW 43.216.555;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demonstrate the efficacy of the state's early childhood education and assistance program, known as ECEAP. Studies in Washington and from other states show that ECEAP prepares children for kindergarten success and has significant positive impacts on third, fourth, and fifth grade test scores. The legislature also finds that in some areas of the state, expanding ECEAP has proven challenging because there are too few eligible children to form an ECEAP classroom. The result is that children who are income eligible and the furthest from opportunity remain unserved. The legislature finds further that in other ECEAP classrooms, funded seats remain empty because providers do not have sufficient flexibility to serve families in need who are slightly over income but often have similar risk factors. The legislature intends, therefore, to provide more flexibility in determining eligibility for ECEAP in order to maximize the state's investment and assure that program funding is deployed to serve the greatest number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w:t>
      </w:r>
      <w:r>
        <w:rPr>
          <w:u w:val="single"/>
        </w:rPr>
        <w:t xml:space="preserve">may allow enrollment of children included in the early childhood education and assistance program under section 2 of this act and</w:t>
      </w:r>
      <w:r>
        <w:rPr/>
        <w:t xml:space="preserve">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f982a9adba244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1bd4b6367495f" /><Relationship Type="http://schemas.openxmlformats.org/officeDocument/2006/relationships/footer" Target="/word/footer.xml" Id="Rdf982a9adba244d4" /></Relationships>
</file>