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e67410fbf4f56" /></Relationships>
</file>

<file path=word/document.xml><?xml version="1.0" encoding="utf-8"?>
<w:document xmlns:w="http://schemas.openxmlformats.org/wordprocessingml/2006/main">
  <w:body>
    <w:p>
      <w:r>
        <w:t>S-3915.1</w:t>
      </w:r>
    </w:p>
    <w:p>
      <w:pPr>
        <w:jc w:val="center"/>
      </w:pPr>
      <w:r>
        <w:t>_______________________________________________</w:t>
      </w:r>
    </w:p>
    <w:p/>
    <w:p>
      <w:pPr>
        <w:jc w:val="center"/>
      </w:pPr>
      <w:r>
        <w:rPr>
          <w:b/>
        </w:rPr>
        <w:t>SENATE BILL 6421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Saldaña, and Rolfes</w:t>
      </w:r>
    </w:p>
    <w:p/>
    <w:p>
      <w:r>
        <w:rPr>
          <w:t xml:space="preserve">Read first time 01/17/18.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environmental and sustainability literacy plan and ensuring its availability in the library of openly licensed courseware; amending RCW 28A.300.803; and adding a new section to chapter 28A.300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ENVIRONMENTAL LEARNING PLAN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convene a work group to update the environmental and sustainability literacy plan in existence on the effective date of this section and develop grade appropriate demonstration lessons that connect to adopted state standards.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Include representatives from a variety of sectors, including but not limited to teachers, agencies, environmental groups, and business representatives;</w:t>
      </w:r>
    </w:p>
    <w:p>
      <w:pPr>
        <w:spacing w:before="0" w:after="0" w:line="408" w:lineRule="exact"/>
        <w:ind w:left="0" w:right="0" w:firstLine="576"/>
        <w:jc w:val="left"/>
      </w:pPr>
      <w:r>
        <w:rPr/>
        <w:t xml:space="preserve">(b) Convene at least three but no more than five times;</w:t>
      </w:r>
    </w:p>
    <w:p>
      <w:pPr>
        <w:spacing w:before="0" w:after="0" w:line="408" w:lineRule="exact"/>
        <w:ind w:left="0" w:right="0" w:firstLine="576"/>
        <w:jc w:val="left"/>
      </w:pPr>
      <w:r>
        <w:rPr/>
        <w:t xml:space="preserve">(c) Update the environmental and sustainability literacy plan by August 1, 2019, subject to an appropriation supporting at least one full-time employee to the environmental and sustainability program within the office of the superintendent of public instruction; and</w:t>
      </w:r>
    </w:p>
    <w:p>
      <w:pPr>
        <w:spacing w:before="0" w:after="0" w:line="408" w:lineRule="exact"/>
        <w:ind w:left="0" w:right="0" w:firstLine="576"/>
        <w:jc w:val="left"/>
      </w:pPr>
      <w:r>
        <w:rPr/>
        <w:t xml:space="preserve">(d) Recommend next steps to be taken by the legislature to successfully implement the environmental and sustainability literacy plan on a statewide basis.</w:t>
      </w:r>
    </w:p>
    <w:p>
      <w:pPr>
        <w:spacing w:before="0" w:after="0" w:line="408" w:lineRule="exact"/>
        <w:ind w:left="0" w:right="0" w:firstLine="576"/>
        <w:jc w:val="left"/>
      </w:pPr>
      <w:r>
        <w:rPr/>
        <w:t xml:space="preserve">(3) The demonstration lessons developed by the work group shall be placed in the open courseware repository identified under RCW 28A.300.803.</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OPENLY LICENSED COURSEWARE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w:t>
      </w:r>
      <w:r>
        <w:t>((</w:t>
      </w:r>
      <w:r>
        <w:rPr>
          <w:strike/>
        </w:rPr>
        <w:t xml:space="preserve">the common core</w:t>
      </w:r>
      <w:r>
        <w:t>))</w:t>
      </w:r>
      <w:r>
        <w:rPr/>
        <w:t xml:space="preserve"> state </w:t>
      </w:r>
      <w:r>
        <w:rPr>
          <w:u w:val="single"/>
        </w:rPr>
        <w:t xml:space="preserve">learning</w:t>
      </w:r>
      <w:r>
        <w:rPr/>
        <w:t xml:space="preserv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w:t>
      </w:r>
      <w:r>
        <w:t>((</w:t>
      </w:r>
      <w:r>
        <w:rPr>
          <w:strike/>
        </w:rPr>
        <w:t xml:space="preserve">and ending December 1, 2017,</w:t>
      </w:r>
      <w:r>
        <w:t>))</w:t>
      </w:r>
      <w:r>
        <w:rPr/>
        <w:t xml:space="preserve"> regarding identification and development of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w:t>
      </w:r>
      <w:r>
        <w:rPr>
          <w:u w:val="single"/>
        </w:rPr>
        <w:t xml:space="preserve">demonstration lessons based on the state environmental and sustainability literacy plan,</w:t>
      </w:r>
      <w:r>
        <w:rPr/>
        <w:t xml:space="preserve">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
      <w:pPr>
        <w:jc w:val="center"/>
      </w:pPr>
      <w:r>
        <w:rPr>
          <w:b/>
        </w:rPr>
        <w:t>--- END ---</w:t>
      </w:r>
    </w:p>
    <w:sectPr>
      <w:pgNumType w:start="1"/>
      <w:footerReference xmlns:r="http://schemas.openxmlformats.org/officeDocument/2006/relationships" r:id="Rb20ea4719b18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35c668b0f418e" /><Relationship Type="http://schemas.openxmlformats.org/officeDocument/2006/relationships/footer" Target="/word/footer.xml" Id="Rb20ea4719b184222" /></Relationships>
</file>