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8145b9fca74027" /></Relationships>
</file>

<file path=word/document.xml><?xml version="1.0" encoding="utf-8"?>
<w:document xmlns:w="http://schemas.openxmlformats.org/wordprocessingml/2006/main">
  <w:body>
    <w:p>
      <w:r>
        <w:t>S-3897.1</w:t>
      </w:r>
    </w:p>
    <w:p>
      <w:pPr>
        <w:jc w:val="center"/>
      </w:pPr>
      <w:r>
        <w:t>_______________________________________________</w:t>
      </w:r>
    </w:p>
    <w:p/>
    <w:p>
      <w:pPr>
        <w:jc w:val="center"/>
      </w:pPr>
      <w:r>
        <w:rPr>
          <w:b/>
        </w:rPr>
        <w:t>SENATE BILL 6422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Kuderer, Saldaña, and Rolfes</w:t>
      </w:r>
    </w:p>
    <w:p/>
    <w:p>
      <w:r>
        <w:rPr>
          <w:t xml:space="preserve">Read first time 01/17/18.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cleaning up toxic substances from Washington's marine waters; amending RCW 70.105D.030, 70.105D.070, and 70.105D.120;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nearshore marine waters in the state's Puget Sound portion of the Salish Sea are critical to the production of benthic organisms that support the entire food chain up through forage fish, salmon, shellfish, and other aquatic species upon which orca whales and people alike depend. Recent studies of salmon indicate that the presence of toxic substances in these nearshore areas present perhaps the greatest source of mortality to juvenile salmon, even greater than the risks faced in other phases of their life cycle from headwater streams to far out into the Pacific ocean and upon their return to their natal streams. The declining health of the Salish Sea ecosystem is also implicated in the faltering population of resident orca whales, and the toxic substances in their primary food source, salmon, may be one important factor jeopardizing the existence of these orca pods.</w:t>
      </w:r>
    </w:p>
    <w:p>
      <w:pPr>
        <w:spacing w:before="0" w:after="0" w:line="408" w:lineRule="exact"/>
        <w:ind w:left="0" w:right="0" w:firstLine="576"/>
        <w:jc w:val="left"/>
      </w:pPr>
      <w:r>
        <w:rPr/>
        <w:t xml:space="preserve">In addition to the critical role that the marine nearshore environment plays in the ecological health of the Salish Sea, many of these areas are also critical to the state's economy as a center of industry, marine transport, and urban development. Delays in cleanup of the historical legacy of improper management of hazardous substances may impede advancing new development as well as redevelopment in these urbanized areas, to the detriment of the region's economy.</w:t>
      </w:r>
    </w:p>
    <w:p>
      <w:pPr>
        <w:spacing w:before="0" w:after="0" w:line="408" w:lineRule="exact"/>
        <w:ind w:left="0" w:right="0" w:firstLine="576"/>
        <w:jc w:val="left"/>
      </w:pPr>
      <w:r>
        <w:rPr/>
        <w:t xml:space="preserve">For these reasons, the legislature finds it necessary to direct that a higher priority be placed upon the cleanup of toxic substances in the marine areas. In doing so, the department of ecology and other state and local authorities should design and implement cleanup in a manner that incorporates projected climate change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partnership, in consultation with the department of ecology, shall prepare a report on the effectiveness and pace of the removal of toxic substances from nearshore areas of Puget Sound. The report must include but is not limited to the following:</w:t>
      </w:r>
    </w:p>
    <w:p>
      <w:pPr>
        <w:spacing w:before="0" w:after="0" w:line="408" w:lineRule="exact"/>
        <w:ind w:left="0" w:right="0" w:firstLine="576"/>
        <w:jc w:val="left"/>
      </w:pPr>
      <w:r>
        <w:rPr/>
        <w:t xml:space="preserve">(a) An assessment of the effectiveness of the remedial action framework and funding priorities established under the model toxics control act, chapter 70.105D RCW, and its implementing rules, in providing for effective and timely cleanup of hazardous waste sites in nearshore areas;</w:t>
      </w:r>
    </w:p>
    <w:p>
      <w:pPr>
        <w:spacing w:before="0" w:after="0" w:line="408" w:lineRule="exact"/>
        <w:ind w:left="0" w:right="0" w:firstLine="576"/>
        <w:jc w:val="left"/>
      </w:pPr>
      <w:r>
        <w:rPr/>
        <w:t xml:space="preserve">(b) A review of the effectiveness of the coordination among potentially liable parties and state, federal, tribal, and local governments in developing and timely implementing remedial actions in the Puget Sound nearshore;</w:t>
      </w:r>
    </w:p>
    <w:p>
      <w:pPr>
        <w:spacing w:before="0" w:after="0" w:line="408" w:lineRule="exact"/>
        <w:ind w:left="0" w:right="0" w:firstLine="576"/>
        <w:jc w:val="left"/>
      </w:pPr>
      <w:r>
        <w:rPr/>
        <w:t xml:space="preserve">(c) A review of the projected impacts of climate change on the health of Puget Sound, including sea level rise, ocean acidification, peak runoff events, and other impacts, and how those impacts are being considered in the design of remedial actions; and</w:t>
      </w:r>
    </w:p>
    <w:p>
      <w:pPr>
        <w:spacing w:before="0" w:after="0" w:line="408" w:lineRule="exact"/>
        <w:ind w:left="0" w:right="0" w:firstLine="576"/>
        <w:jc w:val="left"/>
      </w:pPr>
      <w:r>
        <w:rPr/>
        <w:t xml:space="preserve">(d) Recommendations to improve and speed up remedial actions in the nearshore, including legislative or administrative actions.</w:t>
      </w:r>
    </w:p>
    <w:p>
      <w:pPr>
        <w:spacing w:before="0" w:after="0" w:line="408" w:lineRule="exact"/>
        <w:ind w:left="0" w:right="0" w:firstLine="576"/>
        <w:jc w:val="left"/>
      </w:pPr>
      <w:r>
        <w:rPr/>
        <w:t xml:space="preserve">(2) The report must be provided to the appropriate committees of the senate and house of representatives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shall give reasonable notice before entering property unless an emergency prevents such notice. In conducting, providing for, or requiring remedial action, the department shall</w:t>
      </w:r>
      <w:r>
        <w:rPr>
          <w:u w:val="single"/>
        </w:rPr>
        <w:t xml:space="preserve">: (i) G</w:t>
      </w:r>
      <w:r>
        <w:rPr/>
        <w:t xml:space="preserve">ive preference to permanent solutions to the maximum extent practicable</w:t>
      </w:r>
      <w:r>
        <w:rPr>
          <w:u w:val="single"/>
        </w:rPr>
        <w:t xml:space="preserve">; (ii) consider the potential impacts from climate change on the long-term effectiveness of the remedial action;</w:t>
      </w:r>
      <w:r>
        <w:rPr/>
        <w:t xml:space="preserve"> and </w:t>
      </w:r>
      <w:r>
        <w:t>((</w:t>
      </w:r>
      <w:r>
        <w:rPr>
          <w:strike/>
        </w:rPr>
        <w:t xml:space="preserve">shall</w:t>
      </w:r>
      <w:r>
        <w:t>))</w:t>
      </w:r>
      <w:r>
        <w:rPr/>
        <w:t xml:space="preserve"> </w:t>
      </w:r>
      <w:r>
        <w:rPr>
          <w:u w:val="single"/>
        </w:rPr>
        <w:t xml:space="preserve">(iii)</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t xml:space="preserve">(5)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(6)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(7)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(8)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t xml:space="preserve">(A) By December 30, 2008, fifty facilities;</w:t>
      </w:r>
    </w:p>
    <w:p>
      <w:pPr>
        <w:spacing w:before="0" w:after="0" w:line="408" w:lineRule="exact"/>
        <w:ind w:left="0" w:right="0" w:firstLine="576"/>
        <w:jc w:val="left"/>
      </w:pPr>
      <w:r>
        <w:rPr/>
        <w:t xml:space="preserve">(B) By June 30, 2009, fifty additional facilities; and</w:t>
      </w:r>
    </w:p>
    <w:p>
      <w:pPr>
        <w:spacing w:before="0" w:after="0" w:line="408" w:lineRule="exact"/>
        <w:ind w:left="0" w:right="0" w:firstLine="576"/>
        <w:jc w:val="left"/>
      </w:pPr>
      <w:r>
        <w:rPr/>
        <w:t xml:space="preserve">(C) By June 30, 2010, the remainder of the facilities;</w:t>
      </w:r>
    </w:p>
    <w:p>
      <w:pPr>
        <w:spacing w:before="0" w:after="0" w:line="408" w:lineRule="exact"/>
        <w:ind w:left="0" w:right="0" w:firstLine="576"/>
        <w:jc w:val="left"/>
      </w:pPr>
      <w:r>
        <w:rPr/>
        <w:t xml:space="preserve">(iii) Once this initial review has been completed, conduct subsequent reviews at least once every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w:t>
      </w:r>
      <w:r>
        <w:t>((</w:t>
      </w:r>
      <w:r>
        <w:rPr>
          <w:strike/>
        </w:rPr>
        <w:t xml:space="preserve">or chapter 70.105A RCW</w:t>
      </w:r>
      <w:r>
        <w:t>))</w:t>
      </w:r>
      <w:r>
        <w:rPr/>
        <w:t xml:space="preserve">;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u w:val="single"/>
        </w:rPr>
        <w:t xml:space="preserve">(C) Nearshore and marine zones that impact the recovery of Puget Sound, including the removal of creosote pilings;</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w:t>
      </w:r>
      <w:r>
        <w:t>((</w:t>
      </w:r>
      <w:r>
        <w:rPr>
          <w:strike/>
        </w:rPr>
        <w:t xml:space="preserve">or</w:t>
      </w:r>
      <w:r>
        <w:t>))</w:t>
      </w:r>
      <w:r>
        <w:rPr/>
        <w:t xml:space="preserve"> (C) prevent hazardous clean-up sites</w:t>
      </w:r>
      <w:r>
        <w:rPr>
          <w:u w:val="single"/>
        </w:rPr>
        <w:t xml:space="preserve">; or (D) hasten the recovery of Puget Sound</w:t>
      </w:r>
      <w:r>
        <w:rPr/>
        <w:t xml:space="preserve">;</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biennium the state toxics control account, the local toxics control account, and the environmental legacy stewardship account may be used for interchangeable purposes and funds may be transferred between accounts to accomplish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120</w:t>
      </w:r>
      <w:r>
        <w:rPr/>
        <w:t xml:space="preserve"> and 2007 c 341 s 31 are each amended to read as follows:</w:t>
      </w:r>
    </w:p>
    <w:p>
      <w:pPr>
        <w:spacing w:before="0" w:after="0" w:line="408" w:lineRule="exact"/>
        <w:ind w:left="0" w:right="0" w:firstLine="576"/>
        <w:jc w:val="left"/>
      </w:pPr>
      <w:r>
        <w:rPr>
          <w:u w:val="single"/>
        </w:rPr>
        <w:t xml:space="preserve">(1)</w:t>
      </w:r>
      <w:r>
        <w:rPr/>
        <w:t xml:space="preserve"> When administering funds under this chapter, the department shall give preference only to Puget Sound partners, as defined in RCW 90.71.010, in comparison to other entities that are eligible to be included in the definition of Puget Sound partner. Entities that are not eligible to be a Puget Sound partner due to geographic location, composition, exclusion from the scope of the Puget Sound action agenda developed by the Puget Sound partnership under RCW 90.71.310, or for any other reason, shall not be given less preferential treatment than Puget Sound partners.</w:t>
      </w:r>
    </w:p>
    <w:p>
      <w:pPr>
        <w:spacing w:before="0" w:after="0" w:line="408" w:lineRule="exact"/>
        <w:ind w:left="0" w:right="0" w:firstLine="576"/>
        <w:jc w:val="left"/>
      </w:pPr>
      <w:r>
        <w:rPr>
          <w:u w:val="single"/>
        </w:rPr>
        <w:t xml:space="preserve">(2) The department shall give preference to clean-up projects by Puget Sound partners that incorporate climate change impacts into remedial action designs and that address marine nearshore environments critical to either or both ecological health and the local economy.</w:t>
      </w:r>
    </w:p>
    <w:p/>
    <w:p>
      <w:pPr>
        <w:jc w:val="center"/>
      </w:pPr>
      <w:r>
        <w:rPr>
          <w:b/>
        </w:rPr>
        <w:t>--- END ---</w:t>
      </w:r>
    </w:p>
    <w:sectPr>
      <w:pgNumType w:start="1"/>
      <w:footerReference xmlns:r="http://schemas.openxmlformats.org/officeDocument/2006/relationships" r:id="R319b7702bd8941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13d6703154e00" /><Relationship Type="http://schemas.openxmlformats.org/officeDocument/2006/relationships/footer" Target="/word/footer.xml" Id="R319b7702bd8941c1" /></Relationships>
</file>