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d492bb377040e9" /></Relationships>
</file>

<file path=word/document.xml><?xml version="1.0" encoding="utf-8"?>
<w:document xmlns:w="http://schemas.openxmlformats.org/wordprocessingml/2006/main">
  <w:body>
    <w:p>
      <w:r>
        <w:t>S-3599.2</w:t>
      </w:r>
    </w:p>
    <w:p>
      <w:pPr>
        <w:jc w:val="center"/>
      </w:pPr>
      <w:r>
        <w:t>_______________________________________________</w:t>
      </w:r>
    </w:p>
    <w:p/>
    <w:p>
      <w:pPr>
        <w:jc w:val="center"/>
      </w:pPr>
      <w:r>
        <w:rPr>
          <w:b/>
        </w:rPr>
        <w:t>SENATE BILL 6496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Becker, Rivers, and Brown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transparency within the department of social and health services; amending RCW 71.24.037; and adding a new section to chapter 71.24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2017 c 330 s 2 are each amended to read as follows:</w:t>
      </w:r>
    </w:p>
    <w:p>
      <w:pPr>
        <w:spacing w:before="0" w:after="0" w:line="408" w:lineRule="exact"/>
        <w:ind w:left="0" w:right="0" w:firstLine="576"/>
        <w:jc w:val="left"/>
      </w:pPr>
      <w:r>
        <w:rPr/>
        <w:t xml:space="preserve">(1) The secretary shall by rule establish state minimum standards for licensed behavioral health service providers and services, whether those service providers and services are licensed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behavioral health service providers.</w:t>
      </w:r>
    </w:p>
    <w:p>
      <w:pPr>
        <w:spacing w:before="0" w:after="0" w:line="408" w:lineRule="exact"/>
        <w:ind w:left="0" w:right="0" w:firstLine="576"/>
        <w:jc w:val="left"/>
      </w:pPr>
      <w:r>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(14) Any settlement agreement entered into between the department and licensed behavioral health service providers to resolve administrative complaints, license violations, license suspensions, or license revocations may not reduce the number of violations reported by the department unless the department concludes, based on evidence gathered by inspectors, that the licensed behavioral health service provider did not commit one or more of the violations.</w:t>
      </w:r>
    </w:p>
    <w:p>
      <w:pPr>
        <w:spacing w:before="0" w:after="0" w:line="408" w:lineRule="exact"/>
        <w:ind w:left="0" w:right="0" w:firstLine="576"/>
        <w:jc w:val="left"/>
      </w:pPr>
      <w:r>
        <w:rPr/>
        <w:t xml:space="preserve">(15) In cases in which a behavioral health service provider that is in violation of licensing standards attempts to transfer or sell the behavioral health service provider to a family member, the transfer or sale may only be made for the purpose of remedying license violations and achieving full compliance with the terms of the license. Transfers or sales to family members are prohibited in cases in which the purpose of the transfer or sale is to avoid liability or reset the number of license violations found before the transfer or sale. If the department finds that the owner intends to transfer or sell, or has completed the transfer or sale of, ownership of the behavioral health service provider to a family member solely for the purpose of resetting the number of violations found before the transfer or sale, the department may not renew the behavioral health service provider's license or issue a new license to the behavioral health service provider.</w:t>
      </w:r>
    </w:p>
    <w:p>
      <w:pPr>
        <w:spacing w:before="0" w:after="0" w:line="408" w:lineRule="exact"/>
        <w:ind w:left="0" w:right="0" w:firstLine="576"/>
        <w:jc w:val="left"/>
      </w:pPr>
      <w:r>
        <w:rPr>
          <w:u w:val="single"/>
        </w:rPr>
        <w:t xml:space="preserve">(16) The secretary shall direct the department to issue a request for proposal in accordance with the parameters set forth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must immediately contract with an independent malpractice or risk management firm to perform a review and issue a report of the department's rules, policies, and procedures related to the scope of work and training requirements for behavioral health service providers, department behavioral health provider inspection and certification staff, and department office managers. The contracted firm shall review all settlements, corrective action plans, and legal agreements made between the department's division of behavioral health and recovery and behavioral health service providers from 2010 to 2018 for misfeasance and misuse of official capacity or authority by department personnel.</w:t>
      </w:r>
    </w:p>
    <w:p>
      <w:pPr>
        <w:spacing w:before="0" w:after="0" w:line="408" w:lineRule="exact"/>
        <w:ind w:left="0" w:right="0" w:firstLine="576"/>
        <w:jc w:val="left"/>
      </w:pPr>
      <w:r>
        <w:rPr/>
        <w:t xml:space="preserve">(2) The review and report referenced in subsection (1) of this section must:</w:t>
      </w:r>
    </w:p>
    <w:p>
      <w:pPr>
        <w:spacing w:before="0" w:after="0" w:line="408" w:lineRule="exact"/>
        <w:ind w:left="0" w:right="0" w:firstLine="576"/>
        <w:jc w:val="left"/>
      </w:pPr>
      <w:r>
        <w:rPr/>
        <w:t xml:space="preserve">(a) Identify areas in which training and certification for providers is inadequate based on the client population they serve;</w:t>
      </w:r>
    </w:p>
    <w:p>
      <w:pPr>
        <w:spacing w:before="0" w:after="0" w:line="408" w:lineRule="exact"/>
        <w:ind w:left="0" w:right="0" w:firstLine="576"/>
        <w:jc w:val="left"/>
      </w:pPr>
      <w:r>
        <w:rPr/>
        <w:t xml:space="preserve">(b) Identify areas in which training and certification requirements for department behavioral health inspectors, certifiers, and office managers are inadequate based on each respective position's scope of work and current best practices;</w:t>
      </w:r>
    </w:p>
    <w:p>
      <w:pPr>
        <w:spacing w:before="0" w:after="0" w:line="408" w:lineRule="exact"/>
        <w:ind w:left="0" w:right="0" w:firstLine="576"/>
        <w:jc w:val="left"/>
      </w:pPr>
      <w:r>
        <w:rPr/>
        <w:t xml:space="preserve">(c) Issue recommendations for how to improve transparency within the department's division of behavioral health and recovery;</w:t>
      </w:r>
    </w:p>
    <w:p>
      <w:pPr>
        <w:spacing w:before="0" w:after="0" w:line="408" w:lineRule="exact"/>
        <w:ind w:left="0" w:right="0" w:firstLine="576"/>
        <w:jc w:val="left"/>
      </w:pPr>
      <w:r>
        <w:rPr/>
        <w:t xml:space="preserve">(d) Issue recommendations for how to remedy past instances of departmental misfeasance and unethical behavior according to current best practices;</w:t>
      </w:r>
    </w:p>
    <w:p>
      <w:pPr>
        <w:spacing w:before="0" w:after="0" w:line="408" w:lineRule="exact"/>
        <w:ind w:left="0" w:right="0" w:firstLine="576"/>
        <w:jc w:val="left"/>
      </w:pPr>
      <w:r>
        <w:rPr/>
        <w:t xml:space="preserve">(e) Issue recommendations for how to implement continuous future oversight of departmental misfeasance and unethical behavior according to current best practices;</w:t>
      </w:r>
    </w:p>
    <w:p>
      <w:pPr>
        <w:spacing w:before="0" w:after="0" w:line="408" w:lineRule="exact"/>
        <w:ind w:left="0" w:right="0" w:firstLine="576"/>
        <w:jc w:val="left"/>
      </w:pPr>
      <w:r>
        <w:rPr/>
        <w:t xml:space="preserve">(f) Present a comparative analysis of review results and current nationally accepted best practices regarding behavioral health provider staffing models, behavioral health provider training and certification requirements, department inspection and certification procedures, department office manager training requirements, and settlement procedures between similarly situated state departments and state contracted behavioral health providers; and</w:t>
      </w:r>
    </w:p>
    <w:p>
      <w:pPr>
        <w:spacing w:before="0" w:after="0" w:line="408" w:lineRule="exact"/>
        <w:ind w:left="0" w:right="0" w:firstLine="576"/>
        <w:jc w:val="left"/>
      </w:pPr>
      <w:r>
        <w:rPr/>
        <w:t xml:space="preserve">(g) Be completed and delivered to the legislature by December 1, 2018.</w:t>
      </w:r>
    </w:p>
    <w:p>
      <w:pPr>
        <w:spacing w:before="0" w:after="0" w:line="408" w:lineRule="exact"/>
        <w:ind w:left="0" w:right="0" w:firstLine="576"/>
        <w:jc w:val="left"/>
      </w:pPr>
      <w:r>
        <w:rPr/>
        <w:t xml:space="preserve">(3) Reviews conducted by an independent malpractice or risk management firm contracted by the department must:</w:t>
      </w:r>
    </w:p>
    <w:p>
      <w:pPr>
        <w:spacing w:before="0" w:after="0" w:line="408" w:lineRule="exact"/>
        <w:ind w:left="0" w:right="0" w:firstLine="576"/>
        <w:jc w:val="left"/>
      </w:pPr>
      <w:r>
        <w:rPr/>
        <w:t xml:space="preserve">(a) Rely on a sampling methodology to conduct reviews of personnel files and clinical records based on written guidelines established by the department that are consistent with the standards of other licensing and accrediting bodies;</w:t>
      </w:r>
    </w:p>
    <w:p>
      <w:pPr>
        <w:spacing w:before="0" w:after="0" w:line="408" w:lineRule="exact"/>
        <w:ind w:left="0" w:right="0" w:firstLine="576"/>
        <w:jc w:val="left"/>
      </w:pPr>
      <w:r>
        <w:rPr/>
        <w:t xml:space="preserve">(b) Be distributed to each behavioral health organization, licensed behavioral health provider, department inspector, and major local publications;</w:t>
      </w:r>
    </w:p>
    <w:p>
      <w:pPr>
        <w:spacing w:before="0" w:after="0" w:line="408" w:lineRule="exact"/>
        <w:ind w:left="0" w:right="0" w:firstLine="576"/>
        <w:jc w:val="left"/>
      </w:pPr>
      <w:r>
        <w:rPr/>
        <w:t xml:space="preserve">(c) Coordinate review functions between the contracted firm and the department to eliminate redundancies; and</w:t>
      </w:r>
    </w:p>
    <w:p>
      <w:pPr>
        <w:spacing w:before="0" w:after="0" w:line="408" w:lineRule="exact"/>
        <w:ind w:left="0" w:right="0" w:firstLine="576"/>
        <w:jc w:val="left"/>
      </w:pPr>
      <w:r>
        <w:rPr/>
        <w:t xml:space="preserve">(d) Ensure that reviews involving evidence or research-based programs are conducted to the extent practicable by personnel familiar with the department's provision of behavioral health services, program model, department structure, and administrative framework and in a manner consistent with the documentation requirements of the program.</w:t>
      </w:r>
    </w:p>
    <w:p/>
    <w:p>
      <w:pPr>
        <w:jc w:val="center"/>
      </w:pPr>
      <w:r>
        <w:rPr>
          <w:b/>
        </w:rPr>
        <w:t>--- END ---</w:t>
      </w:r>
    </w:p>
    <w:sectPr>
      <w:pgNumType w:start="1"/>
      <w:footerReference xmlns:r="http://schemas.openxmlformats.org/officeDocument/2006/relationships" r:id="Ra2c7725f494049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280784253241f5" /><Relationship Type="http://schemas.openxmlformats.org/officeDocument/2006/relationships/footer" Target="/word/footer.xml" Id="Ra2c7725f49404904" /></Relationships>
</file>