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18bcf710e142fc" /></Relationships>
</file>

<file path=word/document.xml><?xml version="1.0" encoding="utf-8"?>
<w:document xmlns:w="http://schemas.openxmlformats.org/wordprocessingml/2006/main">
  <w:body>
    <w:p>
      <w:r>
        <w:t>S-4896.1</w:t>
      </w:r>
    </w:p>
    <w:p>
      <w:pPr>
        <w:jc w:val="center"/>
      </w:pPr>
      <w:r>
        <w:t>_______________________________________________</w:t>
      </w:r>
    </w:p>
    <w:p/>
    <w:p>
      <w:pPr>
        <w:jc w:val="center"/>
      </w:pPr>
      <w:r>
        <w:rPr>
          <w:b/>
        </w:rPr>
        <w:t>SECOND SUBSTITUTE SENATE BILL 6529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Saldaña, Ranker, Cleveland, Rolfes, Van De Wege, Miloscia, Chase, Conway, McCoy, Hunt, Keiser, and Hasegawa)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pesticide application safety work group;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pesticide application safety work group is established to develop recommendations for improving the safety of pesticide applications.</w:t>
      </w:r>
    </w:p>
    <w:p>
      <w:pPr>
        <w:spacing w:before="0" w:after="0" w:line="408" w:lineRule="exact"/>
        <w:ind w:left="0" w:right="0" w:firstLine="576"/>
        <w:jc w:val="left"/>
      </w:pPr>
      <w:r>
        <w:rPr/>
        <w:t xml:space="preserve">(2) The work group is composed of:</w:t>
      </w:r>
    </w:p>
    <w:p>
      <w:pPr>
        <w:spacing w:before="0" w:after="0" w:line="408" w:lineRule="exact"/>
        <w:ind w:left="0" w:right="0" w:firstLine="576"/>
        <w:jc w:val="left"/>
      </w:pPr>
      <w:r>
        <w:rPr/>
        <w:t xml:space="preserve">(a) One member and one alternate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and one alternate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representative from each of the following agencies:</w:t>
      </w:r>
    </w:p>
    <w:p>
      <w:pPr>
        <w:spacing w:before="0" w:after="0" w:line="408" w:lineRule="exact"/>
        <w:ind w:left="0" w:right="0" w:firstLine="576"/>
        <w:jc w:val="left"/>
      </w:pPr>
      <w:r>
        <w:rPr/>
        <w:t xml:space="preserve">(i) The department of agriculture;</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labor and industries;</w:t>
      </w:r>
    </w:p>
    <w:p>
      <w:pPr>
        <w:spacing w:before="0" w:after="0" w:line="408" w:lineRule="exact"/>
        <w:ind w:left="0" w:right="0" w:firstLine="576"/>
        <w:jc w:val="left"/>
      </w:pPr>
      <w:r>
        <w:rPr/>
        <w:t xml:space="preserve">(iv) The department of natural resources; and</w:t>
      </w:r>
    </w:p>
    <w:p>
      <w:pPr>
        <w:spacing w:before="0" w:after="0" w:line="408" w:lineRule="exact"/>
        <w:ind w:left="0" w:right="0" w:firstLine="576"/>
        <w:jc w:val="left"/>
      </w:pPr>
      <w:r>
        <w:rPr/>
        <w:t xml:space="preserve">(v) The commission on Hispanic affairs.</w:t>
      </w:r>
    </w:p>
    <w:p>
      <w:pPr>
        <w:spacing w:before="0" w:after="0" w:line="408" w:lineRule="exact"/>
        <w:ind w:left="0" w:right="0" w:firstLine="576"/>
        <w:jc w:val="left"/>
      </w:pPr>
      <w:r>
        <w:rPr/>
        <w:t xml:space="preserve">(3)(a) The secretary of the department of health and the director of the department of agriculture may invite individuals to participate in the work group in an advisory capacity.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(b) The following may have an interest in participating in an advisory role:</w:t>
      </w:r>
    </w:p>
    <w:p>
      <w:pPr>
        <w:spacing w:before="0" w:after="0" w:line="408" w:lineRule="exact"/>
        <w:ind w:left="0" w:right="0" w:firstLine="576"/>
        <w:jc w:val="left"/>
      </w:pPr>
      <w:r>
        <w:rPr/>
        <w:t xml:space="preserve">(i) An organization representing producers of a crop that uses airblast sprayers;</w:t>
      </w:r>
    </w:p>
    <w:p>
      <w:pPr>
        <w:spacing w:before="0" w:after="0" w:line="408" w:lineRule="exact"/>
        <w:ind w:left="0" w:right="0" w:firstLine="576"/>
        <w:jc w:val="left"/>
      </w:pPr>
      <w:r>
        <w:rPr/>
        <w:t xml:space="preserve">(ii) An organization representing producers of a crop that uses fumigation;</w:t>
      </w:r>
    </w:p>
    <w:p>
      <w:pPr>
        <w:spacing w:before="0" w:after="0" w:line="408" w:lineRule="exact"/>
        <w:ind w:left="0" w:right="0" w:firstLine="576"/>
        <w:jc w:val="left"/>
      </w:pPr>
      <w:r>
        <w:rPr/>
        <w:t xml:space="preserve">(iii) An organization representing producers of a crop that uses aerial application;</w:t>
      </w:r>
    </w:p>
    <w:p>
      <w:pPr>
        <w:spacing w:before="0" w:after="0" w:line="408" w:lineRule="exact"/>
        <w:ind w:left="0" w:right="0" w:firstLine="576"/>
        <w:jc w:val="left"/>
      </w:pPr>
      <w:r>
        <w:rPr/>
        <w:t xml:space="preserve">(iv) An organization representing timber producers;</w:t>
      </w:r>
    </w:p>
    <w:p>
      <w:pPr>
        <w:spacing w:before="0" w:after="0" w:line="408" w:lineRule="exact"/>
        <w:ind w:left="0" w:right="0" w:firstLine="576"/>
        <w:jc w:val="left"/>
      </w:pPr>
      <w:r>
        <w:rPr/>
        <w:t xml:space="preserve">(v) An aerial applicator or pilot;</w:t>
      </w:r>
    </w:p>
    <w:p>
      <w:pPr>
        <w:spacing w:before="0" w:after="0" w:line="408" w:lineRule="exact"/>
        <w:ind w:left="0" w:right="0" w:firstLine="576"/>
        <w:jc w:val="left"/>
      </w:pPr>
      <w:r>
        <w:rPr/>
        <w:t xml:space="preserve">(vi) An organization representing farmworkers;</w:t>
      </w:r>
    </w:p>
    <w:p>
      <w:pPr>
        <w:spacing w:before="0" w:after="0" w:line="408" w:lineRule="exact"/>
        <w:ind w:left="0" w:right="0" w:firstLine="576"/>
        <w:jc w:val="left"/>
      </w:pPr>
      <w:r>
        <w:rPr/>
        <w:t xml:space="preserve">(vii) An organization representing labor;</w:t>
      </w:r>
    </w:p>
    <w:p>
      <w:pPr>
        <w:spacing w:before="0" w:after="0" w:line="408" w:lineRule="exact"/>
        <w:ind w:left="0" w:right="0" w:firstLine="576"/>
        <w:jc w:val="left"/>
      </w:pPr>
      <w:r>
        <w:rPr/>
        <w:t xml:space="preserve">(viii) An organization representing children's health advocacy;</w:t>
      </w:r>
    </w:p>
    <w:p>
      <w:pPr>
        <w:spacing w:before="0" w:after="0" w:line="408" w:lineRule="exact"/>
        <w:ind w:left="0" w:right="0" w:firstLine="576"/>
        <w:jc w:val="left"/>
      </w:pPr>
      <w:r>
        <w:rPr/>
        <w:t xml:space="preserve">(ix) An organization representing environmental interests;</w:t>
      </w:r>
    </w:p>
    <w:p>
      <w:pPr>
        <w:spacing w:before="0" w:after="0" w:line="408" w:lineRule="exact"/>
        <w:ind w:left="0" w:right="0" w:firstLine="576"/>
        <w:jc w:val="left"/>
      </w:pPr>
      <w:r>
        <w:rPr/>
        <w:t xml:space="preserve">(x) The University of Washington Latino center for health; and</w:t>
      </w:r>
    </w:p>
    <w:p>
      <w:pPr>
        <w:spacing w:before="0" w:after="0" w:line="408" w:lineRule="exact"/>
        <w:ind w:left="0" w:right="0" w:firstLine="576"/>
        <w:jc w:val="left"/>
      </w:pPr>
      <w:r>
        <w:rPr/>
        <w:t xml:space="preserve">(xi) Washington State University.</w:t>
      </w:r>
    </w:p>
    <w:p>
      <w:pPr>
        <w:spacing w:before="0" w:after="0" w:line="408" w:lineRule="exact"/>
        <w:ind w:left="0" w:right="0" w:firstLine="576"/>
        <w:jc w:val="left"/>
      </w:pPr>
      <w:r>
        <w:rPr/>
        <w:t xml:space="preserve">(4) The work group shall be cochaired by two of the legislative members, one from each major party and one from each house.</w:t>
      </w:r>
    </w:p>
    <w:p>
      <w:pPr>
        <w:spacing w:before="0" w:after="0" w:line="408" w:lineRule="exact"/>
        <w:ind w:left="0" w:right="0" w:firstLine="576"/>
        <w:jc w:val="left"/>
      </w:pPr>
      <w:r>
        <w:rPr/>
        <w:t xml:space="preserve">(5) Staff support for the work group must be provided by the department of health and the department of agriculture.</w:t>
      </w:r>
    </w:p>
    <w:p>
      <w:pPr>
        <w:spacing w:before="0" w:after="0" w:line="408" w:lineRule="exact"/>
        <w:ind w:left="0" w:right="0" w:firstLine="576"/>
        <w:jc w:val="left"/>
      </w:pPr>
      <w:r>
        <w:rPr/>
        <w:t xml:space="preserve">(6)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work group shall provide a report that includes any findings, recommendations, and draft legislation, to the governor and the appropriate committees of the legislature, by November 1, 2018.</w:t>
      </w:r>
    </w:p>
    <w:p/>
    <w:p>
      <w:pPr>
        <w:jc w:val="center"/>
      </w:pPr>
      <w:r>
        <w:rPr>
          <w:b/>
        </w:rPr>
        <w:t>--- END ---</w:t>
      </w:r>
    </w:p>
    <w:sectPr>
      <w:pgNumType w:start="1"/>
      <w:footerReference xmlns:r="http://schemas.openxmlformats.org/officeDocument/2006/relationships" r:id="R5c777f9b5c274b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c0df280912474f" /><Relationship Type="http://schemas.openxmlformats.org/officeDocument/2006/relationships/footer" Target="/word/footer.xml" Id="R5c777f9b5c274b60" /></Relationships>
</file>