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73b4081301414e" /></Relationships>
</file>

<file path=word/document.xml><?xml version="1.0" encoding="utf-8"?>
<w:document xmlns:w="http://schemas.openxmlformats.org/wordprocessingml/2006/main">
  <w:body>
    <w:p>
      <w:r>
        <w:t>S-3284.2</w:t>
      </w:r>
    </w:p>
    <w:p>
      <w:pPr>
        <w:jc w:val="center"/>
      </w:pPr>
      <w:r>
        <w:t>_______________________________________________</w:t>
      </w:r>
    </w:p>
    <w:p/>
    <w:p>
      <w:pPr>
        <w:jc w:val="center"/>
      </w:pPr>
      <w:r>
        <w:rPr>
          <w:b/>
        </w:rPr>
        <w:t>SENATE BILL 6605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Ranker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vapor products; amending RCW 43.348.080; reenacting and amending RCW 82.26.010; adding a new section to chapter 82.26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w:t>
      </w:r>
      <w:r>
        <w:rPr>
          <w:u w:val="single"/>
        </w:rPr>
        <w:t xml:space="preserve">or contains nicotine derived from tobacco</w:t>
      </w:r>
      <w:r>
        <w:rPr/>
        <w:t xml:space="preserve"> and is intended for human consumption or placement in the oral or nasal cavity or absorption into the human body by any other means, but does not include cigarettes as defined in RCW 82.24.010. </w:t>
      </w:r>
      <w:r>
        <w:rPr>
          <w:u w:val="single"/>
        </w:rPr>
        <w:t xml:space="preserve">"Tobacco products" includes any product containing a solution or other consumable substance that contains tobacco or nicotine derived from tobacco that employs a mechanical heating element, battery, or electronic circuit that can be used to produce vapor from the solution or other substance.</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2015 3rd sp.s. c 34 s 9 are each amended to read as follows:</w:t>
      </w:r>
    </w:p>
    <w:p>
      <w:pPr>
        <w:spacing w:before="0" w:after="0" w:line="408" w:lineRule="exact"/>
        <w:ind w:left="0" w:right="0" w:firstLine="576"/>
        <w:jc w:val="left"/>
      </w:pPr>
      <w:r>
        <w:rPr/>
        <w:t xml:space="preserve">(1) The cancer research endowment fund match transfer account is created in the custody of the state treasurer as a nonappropriated account to be used solely and exclusively for the cancer research endowment program created in RCW 43.348.040. The purpose of the account is to provide matching funds for the CARE fund and administrative costs.</w:t>
      </w:r>
    </w:p>
    <w:p>
      <w:pPr>
        <w:spacing w:before="0" w:after="0" w:line="408" w:lineRule="exact"/>
        <w:ind w:left="0" w:right="0" w:firstLine="576"/>
        <w:jc w:val="left"/>
      </w:pPr>
      <w:r>
        <w:rPr/>
        <w:t xml:space="preserve">(2) Revenues to the account must consist of deposits into the account, legislative appropriations </w:t>
      </w:r>
      <w:r>
        <w:rPr>
          <w:u w:val="single"/>
        </w:rPr>
        <w:t xml:space="preserve">including appropriations to comply with the statutory distributions under section 3 of this act</w:t>
      </w:r>
      <w:r>
        <w:rPr/>
        <w:t xml:space="preserve">, and any gifts, grants, or donations received by the department for this purpose.</w:t>
      </w:r>
    </w:p>
    <w:p>
      <w:pPr>
        <w:spacing w:before="0" w:after="0" w:line="408" w:lineRule="exact"/>
        <w:ind w:left="0" w:right="0" w:firstLine="576"/>
        <w:jc w:val="left"/>
      </w:pPr>
      <w:r>
        <w:rPr/>
        <w:t xml:space="preserve">(3) </w:t>
      </w:r>
      <w:r>
        <w:t>((</w:t>
      </w:r>
      <w:r>
        <w:rPr>
          <w:strike/>
        </w:rPr>
        <w:t xml:space="preserve">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w:t>
      </w:r>
    </w:p>
    <w:p>
      <w:pPr>
        <w:spacing w:before="0" w:after="0" w:line="408" w:lineRule="exact"/>
        <w:ind w:left="0" w:right="0" w:firstLine="576"/>
        <w:jc w:val="left"/>
      </w:pPr>
      <w:r>
        <w:rPr>
          <w:strike/>
        </w:rPr>
        <w:t xml:space="preserve">(4)</w:t>
      </w:r>
      <w:r>
        <w:t>))</w:t>
      </w:r>
      <w:r>
        <w:rPr/>
        <w:t xml:space="preserve"> Expenditures</w:t>
      </w:r>
      <w:r>
        <w:t>((</w:t>
      </w:r>
      <w:r>
        <w:rPr>
          <w:strike/>
        </w:rPr>
        <w:t xml:space="preserve">, in the form of matching funds,</w:t>
      </w:r>
      <w:r>
        <w:t>))</w:t>
      </w:r>
      <w:r>
        <w:rPr/>
        <w:t xml:space="preserve"> from the account may be made only upon receipt of proof from the program administrator of nonstate or private contributions to the CARE fund for the cancer research endowment program. Expenditures, in the form of matching funds, may </w:t>
      </w:r>
      <w:r>
        <w:t>((</w:t>
      </w:r>
      <w:r>
        <w:rPr>
          <w:strike/>
        </w:rPr>
        <w:t xml:space="preserve">not</w:t>
      </w:r>
      <w:r>
        <w:t>))</w:t>
      </w:r>
      <w:r>
        <w:rPr/>
        <w:t xml:space="preserve"> exceed the total amount of nonstate or private contributions.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Only the director of the department or the director's designee may authorize expenditures from the cancer research endowment fund match transfer account. Such authorization must be made as soon as practicable following receipt of proof as required under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must enter into an appropriate agreement with the program administrator to demonstrate exchange of consideration for the matching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By July 1, 2019, and by July 1st of each year thereafter, the state treasurer must transfer all revenues collected under this act, except as provided in subsection (2) of this section, to the cancer research endowment fund match transfer account created in RCW 43.348.080.</w:t>
      </w:r>
    </w:p>
    <w:p>
      <w:pPr>
        <w:spacing w:before="0" w:after="0" w:line="408" w:lineRule="exact"/>
        <w:ind w:left="0" w:right="0" w:firstLine="576"/>
        <w:jc w:val="left"/>
      </w:pPr>
      <w:r>
        <w:rPr/>
        <w:t xml:space="preserve">(2) By July 1, 2019, and by July 1st of each year thereafter, the state treasurer must transfer five million dollars to the vapor products safety account hereby created in the state treasury. Moneys in the account may be spent only after appropriation to the state liquor and cannabis board. The board must use the moneys in the account for the prevention of sales of vapor products to minors and related activities for control of vapor product marketing and vapor product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must create a unique reporting code for taxes collected under chapter 82.26 RCW on products containing a solution or other consumable substance that contains tobacco or nicotine derived from tobacco that employs a mechanical heating element, battery, or electronic circuit that can be used to produce vapor from the solution or other substance.</w:t>
      </w:r>
    </w:p>
    <w:p/>
    <w:p>
      <w:pPr>
        <w:jc w:val="center"/>
      </w:pPr>
      <w:r>
        <w:rPr>
          <w:b/>
        </w:rPr>
        <w:t>--- END ---</w:t>
      </w:r>
    </w:p>
    <w:sectPr>
      <w:pgNumType w:start="1"/>
      <w:footerReference xmlns:r="http://schemas.openxmlformats.org/officeDocument/2006/relationships" r:id="R179d6c04a4ad41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ee46cacb874deb" /><Relationship Type="http://schemas.openxmlformats.org/officeDocument/2006/relationships/footer" Target="/word/footer.xml" Id="R179d6c04a4ad41ef" /></Relationships>
</file>