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9623fa623b43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5293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2017</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5293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5293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Darneille and Chase)</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efforts to promote attendance and reduce truancy; amending RCW 28A.225.020, 28A.225.025, 28A.225.026, 28A.225.090, and 28A.225.151;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w:t>
      </w:r>
      <w:r>
        <w:rPr>
          <w:u w:val="single"/>
        </w:rPr>
        <w:t xml:space="preserve">At some point after the second and before the fifth unexcused absence, t</w:t>
      </w:r>
      <w:r>
        <w:rPr/>
        <w:t xml:space="preserve">ake data-informed steps to eliminate or reduce the child's absences. These steps </w:t>
      </w:r>
      <w:r>
        <w:t>((</w:t>
      </w:r>
      <w:r>
        <w:rPr>
          <w:strike/>
        </w:rPr>
        <w:t xml:space="preserve">shall</w:t>
      </w:r>
      <w:r>
        <w:t>))</w:t>
      </w:r>
      <w:r>
        <w:rPr/>
        <w:t xml:space="preserve"> </w:t>
      </w:r>
      <w:r>
        <w:rPr>
          <w:u w:val="single"/>
        </w:rPr>
        <w:t xml:space="preserve">must</w:t>
      </w:r>
      <w:r>
        <w:rPr/>
        <w:t xml:space="preserve"> include application of </w:t>
      </w:r>
      <w:r>
        <w:rPr>
          <w:u w:val="single"/>
        </w:rPr>
        <w:t xml:space="preserve">an assessment tool such as</w:t>
      </w:r>
      <w:r>
        <w:rPr/>
        <w:t xml:space="preserve"> the Washington assessment of the risks and needs of students (WARNS) by a school district's designee under RCW 28A.225.026</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(i) For any child with an existing individualized education plan or 504 plan, these steps must include the convening of the child's individualized education plan or 504 plan team, including a behavioral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u w:val="single"/>
        </w:rPr>
        <w:t xml:space="preserve">(ii)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u w:val="single"/>
        </w:rPr>
        <w:t xml:space="preserve">(iii) These steps must include,</w:t>
      </w:r>
      <w:r>
        <w:rPr/>
        <w:t xml:space="preserve"> where appropriate, providing an available approved best practice or research-based intervention, or both, consistent with the </w:t>
      </w:r>
      <w:r>
        <w:t>((</w:t>
      </w:r>
      <w:r>
        <w:rPr>
          <w:strike/>
        </w:rPr>
        <w:t xml:space="preserve">WARNS profile</w:t>
      </w:r>
      <w:r>
        <w:t>))</w:t>
      </w:r>
      <w:r>
        <w:rPr/>
        <w:t xml:space="preserve"> </w:t>
      </w:r>
      <w:r>
        <w:rPr>
          <w:u w:val="single"/>
        </w:rPr>
        <w:t xml:space="preserve">assessment tool</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w:t>
      </w:r>
      <w:r>
        <w:rPr>
          <w:u w:val="single"/>
        </w:rPr>
        <w:t xml:space="preserve">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culturally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multisystemic therapy, and aggression replacement training, suggesting to the school district that the child enroll in another school, an alternative education program, an education center, a skill center, a dropout prevention program, or another public or private educational program, or recommending to the juvenile court that a juvenile be </w:t>
      </w:r>
      <w:r>
        <w:t>((</w:t>
      </w:r>
      <w:r>
        <w:rPr>
          <w:strike/>
        </w:rPr>
        <w:t xml:space="preserve">referred to</w:t>
      </w:r>
      <w:r>
        <w:t>))</w:t>
      </w:r>
      <w:r>
        <w:rPr/>
        <w:t xml:space="preserve"> </w:t>
      </w:r>
      <w:r>
        <w:rPr>
          <w:u w:val="single"/>
        </w:rPr>
        <w:t xml:space="preserve">offered the opportunity for placement in</w:t>
      </w:r>
      <w:r>
        <w:rPr/>
        <w:t xml:space="preserve"> a HOPE center or crisis residential center</w:t>
      </w:r>
      <w:r>
        <w:rPr>
          <w:u w:val="single"/>
        </w:rPr>
        <w:t xml:space="preserve">, if appropriate</w:t>
      </w:r>
      <w:r>
        <w:rPr/>
        <w:t xml:space="preserve">.</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w:t>
      </w:r>
      <w:r>
        <w:rPr>
          <w:u w:val="single"/>
        </w:rPr>
        <w:t xml:space="preserve">(a)</w:t>
      </w:r>
      <w:r>
        <w:rPr/>
        <w:t xml:space="preserve"> If the child fails to comply with the court order, the court may </w:t>
      </w:r>
      <w:r>
        <w:rPr>
          <w:u w:val="single"/>
        </w:rPr>
        <w:t xml:space="preserve">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 or</w:t>
      </w:r>
    </w:p>
    <w:p>
      <w:pPr>
        <w:spacing w:before="0" w:after="0" w:line="408" w:lineRule="exact"/>
        <w:ind w:left="0" w:right="0" w:firstLine="576"/>
        <w:jc w:val="left"/>
      </w:pPr>
      <w:r>
        <w:rPr>
          <w:u w:val="single"/>
        </w:rPr>
        <w:t xml:space="preserve">(iii) Other services and interventions that the court deems appropriate.</w:t>
      </w:r>
    </w:p>
    <w:p>
      <w:pPr>
        <w:spacing w:before="0" w:after="0" w:line="408" w:lineRule="exact"/>
        <w:ind w:left="0" w:right="0" w:firstLine="576"/>
        <w:jc w:val="left"/>
      </w:pPr>
      <w:r>
        <w:rPr>
          <w:u w:val="single"/>
        </w:rPr>
        <w:t xml:space="preserve">(b) If the child continues to fail to comply with the court order and the court makes a finding that other measures to secure compliance have been tried but have been unsuccessful and no less restrictive alternative is available, the court may</w:t>
      </w:r>
      <w:r>
        <w:rPr/>
        <w:t xml:space="preserve"> order the child to be subject to detention, as provided in RCW 7.21.030(2)(e)</w:t>
      </w:r>
      <w:r>
        <w:t>((</w:t>
      </w:r>
      <w:r>
        <w:rPr>
          <w:strike/>
        </w:rPr>
        <w:t xml:space="preserve">, or may impose alternatives to detention such as community restitution</w:t>
      </w:r>
      <w:r>
        <w:t>))</w:t>
      </w:r>
      <w:r>
        <w:rPr/>
        <w:t xml:space="preserv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1996 c 134 s 5 are each amended to read as follows:</w:t>
      </w:r>
    </w:p>
    <w:p>
      <w:pPr>
        <w:spacing w:before="0" w:after="0" w:line="408" w:lineRule="exact"/>
        <w:ind w:left="0" w:right="0" w:firstLine="576"/>
        <w:jc w:val="left"/>
      </w:pPr>
      <w:r>
        <w:rPr/>
        <w:t xml:space="preserve">(1) As required under subsection (2) of this section, each school shall document the actions taken under RCW 28A.225.030 and report this information to the school district superintendent who shall compile the data for all the schools in the district and prepare an annual school district report for each school year and submit the report to the superintendent of public instruction. The reports shall be made upon forms furnished by the superintendent of public instruction and shall be transmitted as determined by the superintendent of public instruction.</w:t>
      </w:r>
    </w:p>
    <w:p>
      <w:pPr>
        <w:spacing w:before="0" w:after="0" w:line="408" w:lineRule="exact"/>
        <w:ind w:left="0" w:right="0" w:firstLine="576"/>
        <w:jc w:val="left"/>
      </w:pPr>
      <w:r>
        <w:rPr/>
        <w:t xml:space="preserve">(2) The reports under subsection (1) of this section shall include:</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Documentation of the steps taken by the school district under each subsection of RCW 28A.225.020 at the request of the superintendent of public instruction. Each year, by May 1st, the superintendent of public instruction shall select ten school districts to submit the report at the end of the following school year. The ten districts shall represent different areas of the state and be of varied sizes. In addition, the superintendent of public instruction shall require any district that fails to keep appropriate records to submit a full report to the superintendent of public instruction under this subsection. All school districts shall document steps taken under RCW 28A.225.020 in each student's record, and make those records available upon request consistent with the laws governing student records;</w:t>
      </w:r>
    </w:p>
    <w:p>
      <w:pPr>
        <w:spacing w:before="0" w:after="0" w:line="408" w:lineRule="exact"/>
        <w:ind w:left="0" w:right="0" w:firstLine="576"/>
        <w:jc w:val="left"/>
      </w:pPr>
      <w:r>
        <w:rPr/>
        <w:t xml:space="preserve">(c) The number of enrolled students with ten or more unexcused absences in a school year or five or more unexcused absences in a month during a school year;</w:t>
      </w:r>
    </w:p>
    <w:p>
      <w:pPr>
        <w:spacing w:before="0" w:after="0" w:line="408" w:lineRule="exact"/>
        <w:ind w:left="0" w:right="0" w:firstLine="576"/>
        <w:jc w:val="left"/>
      </w:pPr>
      <w:r>
        <w:rPr/>
        <w:t xml:space="preserve">(d)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 </w:t>
      </w:r>
      <w:r>
        <w:t>((</w:t>
      </w:r>
      <w:r>
        <w:rPr>
          <w:strike/>
        </w:rPr>
        <w:t xml:space="preserve">and</w:t>
      </w:r>
      <w:r>
        <w:t>))</w:t>
      </w:r>
    </w:p>
    <w:p>
      <w:pPr>
        <w:spacing w:before="0" w:after="0" w:line="408" w:lineRule="exact"/>
        <w:ind w:left="0" w:right="0" w:firstLine="576"/>
        <w:jc w:val="left"/>
      </w:pPr>
      <w:r>
        <w:rPr/>
        <w:t xml:space="preserve">(e) The number of petitions filed by a school district with the juvenile court</w:t>
      </w:r>
      <w:r>
        <w:rPr>
          <w:u w:val="single"/>
        </w:rPr>
        <w:t xml:space="preserve">; and</w:t>
      </w:r>
    </w:p>
    <w:p>
      <w:pPr>
        <w:spacing w:before="0" w:after="0" w:line="408" w:lineRule="exact"/>
        <w:ind w:left="0" w:right="0" w:firstLine="576"/>
        <w:jc w:val="left"/>
      </w:pPr>
      <w:r>
        <w:rPr>
          <w:u w:val="single"/>
        </w:rPr>
        <w:t xml:space="preserve">(f) Each instance of imposition of detention for failure to comply with a court order under RCW 28A.225.090, with a statement of the reasons for each instance of detention</w:t>
      </w:r>
      <w:r>
        <w:rPr/>
        <w:t xml:space="preserve">.</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superintendent of public instruction shall collect these reports from all school districts and prepare an annual report for each school year to be submitted to the legislature no later than December 15th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e92663a0b80a4a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8ff5b291d4840" /><Relationship Type="http://schemas.openxmlformats.org/officeDocument/2006/relationships/footer" Target="/word/footer.xml" Id="Re92663a0b80a4af6" /></Relationships>
</file>