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98f2f541a49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6211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6211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Hawkins, Rolfes, Van De Wege, and Takko;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federal lands revolving account; amending RCW 43.79A.040; reenacting and amending RCW 79.02.010; adding a new section to chapter 77.12 RCW; adding a new section to chapter 79.64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2012 c 166 s 2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w:t>
      </w:r>
      <w:r>
        <w:rPr>
          <w:u w:val="single"/>
        </w:rPr>
        <w:t xml:space="preserve">"Good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u w:val="single"/>
        </w:rPr>
        <w:t xml:space="preserve">(9)</w:t>
      </w:r>
      <w:r>
        <w:rPr/>
        <w:t xml:space="preserve">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"Land bank lands" means lands acquired under RCW 79.19.020.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forestland pool" or "land pool" means state forestlands acquired and managed under RCW 79.22.140.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 forestlands" means lands acquired under RCW 79.22.010, 79.22.040, and 79.22.020.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"Valuable materials" means any product or material on the lands, such as forest products, forage or agricultural crops, stone, gravel, sand, peat, and all other materials of value except: (a) Mineral, coal, petroleum, and gas as provided for under chapter 79.14 RCW; and (b) forest biomass as provided for under chapter 79.150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fish and wildlife federal lands revolving account is created
in the custody of the state treasurer. All receipts from the proceeds
of good neighbor agreements as defined in RCW 79.02.010 and
implemented by the department of fish and wildlife and all legislative
transfers, gifts, grants, and federal funds designated for use in
conjunction with a good neighbor agreement implemented by the
department of fish and wildlife must be deposited into the account.
Expenditures from the account are subject to the limitations of the
agreements under which proceeds were generated and may be used only
for the planning and implementation of good neighbor agreements,
including management or administrative costs and relevant goods and
services. Only the director or the director's designee may authorize
expenditures from the account. The account is subject to allotment
procedures under chapter 43.88 RCW, but an appropriation is not
required for expenditures. The fish and wildlife federal lands
revolving account is an interest-bearing account and the interest must
be credited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natural resources federal lands revolving account is created in the custody of the state treasurer. All receipts from the proceeds of good neighbor agreements as defined in RCW 79.02.010 and implemented by the department of natural resources and all legislative transfers, gifts, grants, and federal funds designated for use in conjunction with a good neighbor agreement implemented by the department of natural resources must be deposited into the account. Expenditures from the account are subject to the limitations of the agreements under which proceeds were generated and may be used only for the planning and implementation of good neighbor agreements, including management or administrative costs and relevant goods and services. Only the commissioner or the commissioner's designee may authorize expenditures from the account. The account is subject to allotment procedures under chapter 43.88 RCW, but an appropriation is not required for expenditures. The natural resources federal lands revolving account is an interest-bearing account and the interest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w:t>
      </w:r>
      <w:r>
        <w:rPr>
          <w:u w:val="single"/>
        </w:rPr>
        <w:t xml:space="preserve">the fish and wildlife federal lands revolving account, the natural resources federal lands revolving account,</w:t>
      </w:r>
      <w:r>
        <w:rPr/>
        <w:t xml:space="preserve">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b034dad9f14e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522d52cea4f1c" /><Relationship Type="http://schemas.openxmlformats.org/officeDocument/2006/relationships/footer" Target="/word/footer.xml" Id="R05b034dad9f14e65" /></Relationships>
</file>