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54b3eefca48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8404</w:t>
      </w:r>
    </w:p>
    <w:p>
      <w:pPr>
        <w:jc w:val="center"/>
        <w:spacing w:before="720" w:after="0" w:line="240"/>
      </w:pPr>
      <w:r>
        <w:t>65th Legislature</w:t>
      </w:r>
    </w:p>
    <w:p>
      <w:pPr>
        <w:jc w:val="center"/>
        <w:spacing w:before="0" w:after="1440" w:line="240"/>
      </w:pPr>
      <w:r>
        <w:t>2017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24,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pPr>
        <w:jc w:val="center"/>
      </w:pPr>
      <w:r>
        <w:t>Passed Legislature</w:t>
      </w:r>
      <w:r>
        <w:t xml:space="preserve"> - </w:t>
        <w:t>2017 1st Special Session</w:t>
      </w:r>
    </w:p>
    <w:p/>
    <w:p>
      <w:r>
        <w:rPr>
          <w:b/>
        </w:rPr>
        <w:t>State of Washington</w:t>
        <w:tab/>
        <w:tab/>
      </w:r>
      <w:r>
        <w:rPr>
          <w:b/>
        </w:rPr>
        <w:t>65th Legislature</w:t>
        <w:tab/>
      </w:r>
      <w:r>
        <w:rPr>
          <w:b/>
        </w:rPr>
        <w:t>2017 1st Special Session</w:t>
      </w:r>
    </w:p>
    <w:p/>
    <w:p>
      <w:r>
        <w:rPr>
          <w:b/>
        </w:rPr>
        <w:t xml:space="preserve">By </w:t>
      </w:r>
      <w:r>
        <w:t>Senator Fain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of the Sixty-fifth Legislature may require that they be considered at the 2017 first special session of the Sixty-fifth Legislature; and</w:t>
      </w:r>
    </w:p>
    <w:p>
      <w:pPr>
        <w:spacing w:before="0" w:after="0" w:line="408" w:lineRule="exact"/>
        <w:ind w:left="0" w:right="0" w:firstLine="576"/>
        <w:jc w:val="left"/>
      </w:pPr>
      <w:r>
        <w:rPr/>
        <w:t xml:space="preserve">WHEREAS, The public interest requires that the business of the 2017 first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4df6c8d9426f41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51e9e7f3f4546" /><Relationship Type="http://schemas.openxmlformats.org/officeDocument/2006/relationships/footer" Target="/word/footer.xml" Id="R4df6c8d9426f41e2" /></Relationships>
</file>