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3d45377f44f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1056</w:t>
      </w:r>
    </w:p>
    <w:p>
      <w:pPr>
        <w:jc w:val="center"/>
        <w:spacing w:before="480" w:after="0" w:line="240"/>
      </w:pPr>
      <w:r>
        <w:t xml:space="preserve">Chapter </w:t>
      </w:r>
      <w:r>
        <w:rPr/>
        <w:t xml:space="preserve">197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MILITARY SERVICE MEMBERS--CONSUMER PROTECTIONS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3:09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Kilduff, Muri, Appleton, Shea, Lovick, MacEwen, Stanford, Reeves, Fitzgibbon, Frame, Ormsby, Jinkins, Bergquist, Goodman, Gregerson, Kirby, Fey, Slatter, and Sawyer; by request of Attorney General</w:t>
      </w:r>
    </w:p>
    <w:p/>
    <w:p>
      <w:r>
        <w:rPr>
          <w:t xml:space="preserve">Prefiled 01/04/17.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service members on active duty; amending RCW 38.42.010, 38.42.130, and 38.42.140; and adding a new section to chapter 38.42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2014 c 65 s 1 are each amended to read as follows:</w:t>
      </w:r>
    </w:p>
    <w:p>
      <w:pPr>
        <w:spacing w:before="0" w:after="0" w:line="408" w:lineRule="exact"/>
        <w:ind w:left="0" w:right="0" w:firstLine="576"/>
        <w:jc w:val="left"/>
      </w:pPr>
      <w:r>
        <w:rPr/>
        <w:t xml:space="preserve">The definitions in this section apply throughout this chapter</w:t>
      </w:r>
      <w:r>
        <w:rPr>
          <w:u w:val="single"/>
        </w:rPr>
        <w:t xml:space="preserve">, unless the context clearly requires otherwise</w:t>
      </w:r>
      <w:r>
        <w:rPr/>
        <w:t xml:space="preserv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w:t>
      </w:r>
      <w:r>
        <w:rPr>
          <w:u w:val="single"/>
        </w:rPr>
        <w:t xml:space="preserve">active</w:t>
      </w:r>
      <w:r>
        <w:rPr/>
        <w:t xml:space="preser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w:t>
      </w:r>
      <w:r>
        <w:t>((</w:t>
      </w:r>
      <w:r>
        <w:rPr>
          <w:strike/>
        </w:rPr>
        <w:t xml:space="preserve">any resident of Washington state who is a member of the national guard or member of a military reserve component</w:t>
      </w:r>
      <w:r>
        <w:t>))</w:t>
      </w:r>
      <w:r>
        <w:rPr/>
        <w:t xml:space="preserve"> </w:t>
      </w:r>
      <w:r>
        <w:rPr>
          <w:u w:val="single"/>
        </w:rPr>
        <w:t xml:space="preserve">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130</w:t>
      </w:r>
      <w:r>
        <w:rPr/>
        <w:t xml:space="preserve"> and 2014 c 65 s 4 are each amended to read as follows:</w:t>
      </w:r>
    </w:p>
    <w:p>
      <w:pPr>
        <w:spacing w:before="0" w:after="0" w:line="408" w:lineRule="exact"/>
        <w:ind w:left="0" w:right="0" w:firstLine="576"/>
        <w:jc w:val="left"/>
      </w:pPr>
      <w:r>
        <w:rPr/>
        <w:t xml:space="preserve">(1) Any person aggrieved by a violation of this chapter may in a civil action:</w:t>
      </w:r>
    </w:p>
    <w:p>
      <w:pPr>
        <w:spacing w:before="0" w:after="0" w:line="408" w:lineRule="exact"/>
        <w:ind w:left="0" w:right="0" w:firstLine="576"/>
        <w:jc w:val="left"/>
      </w:pPr>
      <w:r>
        <w:rPr/>
        <w:t xml:space="preserve">(a) Obtain any appropriate equitable or declaratory relief with respect to the violation; and</w:t>
      </w:r>
    </w:p>
    <w:p>
      <w:pPr>
        <w:spacing w:before="0" w:after="0" w:line="408" w:lineRule="exact"/>
        <w:ind w:left="0" w:right="0" w:firstLine="576"/>
        <w:jc w:val="left"/>
      </w:pPr>
      <w:r>
        <w:rPr/>
        <w:t xml:space="preserve">(b) Recover all other appropriate relief, including monetary damages.</w:t>
      </w:r>
    </w:p>
    <w:p>
      <w:pPr>
        <w:spacing w:before="0" w:after="0" w:line="408" w:lineRule="exact"/>
        <w:ind w:left="0" w:right="0" w:firstLine="576"/>
        <w:jc w:val="left"/>
      </w:pPr>
      <w:r>
        <w:rPr/>
        <w:t xml:space="preserve">(2) The court may award to a person aggrieved by a violation of this chapter who prevails in an action brought under </w:t>
      </w:r>
      <w:r>
        <w:t>((</w:t>
      </w:r>
      <w:r>
        <w:rPr>
          <w:strike/>
        </w:rPr>
        <w:t xml:space="preserve">subsection (1)(a) of</w:t>
      </w:r>
      <w:r>
        <w:t>))</w:t>
      </w:r>
      <w:r>
        <w:rPr/>
        <w:t xml:space="preserve"> this section the costs of the action,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140</w:t>
      </w:r>
      <w:r>
        <w:rPr/>
        <w:t xml:space="preserve"> and 2014 c 65 s 5 are each amended to read as follows:</w:t>
      </w:r>
    </w:p>
    <w:p>
      <w:pPr>
        <w:spacing w:before="0" w:after="0" w:line="408" w:lineRule="exact"/>
        <w:ind w:left="0" w:right="0" w:firstLine="576"/>
        <w:jc w:val="left"/>
      </w:pPr>
      <w:r>
        <w:rPr/>
        <w:t xml:space="preserve">(1) Civil proceedings to enforce this chapter may be brought by the attorney general against any person that:</w:t>
      </w:r>
    </w:p>
    <w:p>
      <w:pPr>
        <w:spacing w:before="0" w:after="0" w:line="408" w:lineRule="exact"/>
        <w:ind w:left="0" w:right="0" w:firstLine="576"/>
        <w:jc w:val="left"/>
      </w:pPr>
      <w:r>
        <w:rPr/>
        <w:t xml:space="preserve">(a) Engages in a pattern or practice of violating this chapter; or</w:t>
      </w:r>
    </w:p>
    <w:p>
      <w:pPr>
        <w:spacing w:before="0" w:after="0" w:line="408" w:lineRule="exact"/>
        <w:ind w:left="0" w:right="0" w:firstLine="576"/>
        <w:jc w:val="left"/>
      </w:pPr>
      <w:r>
        <w:rPr/>
        <w:t xml:space="preserve">(b) Engages in a violation of this chapter that raises an issue of significant public importance.</w:t>
      </w:r>
    </w:p>
    <w:p>
      <w:pPr>
        <w:spacing w:before="0" w:after="0" w:line="408" w:lineRule="exact"/>
        <w:ind w:left="0" w:right="0" w:firstLine="576"/>
        <w:jc w:val="left"/>
      </w:pPr>
      <w:r>
        <w:rPr/>
        <w:t xml:space="preserve">(2) In a civil action commenced under </w:t>
      </w:r>
      <w:r>
        <w:t>((</w:t>
      </w:r>
      <w:r>
        <w:rPr>
          <w:strike/>
        </w:rPr>
        <w:t xml:space="preserve">subsection (1)(a) of</w:t>
      </w:r>
      <w:r>
        <w:t>))</w:t>
      </w:r>
      <w:r>
        <w:rPr/>
        <w:t xml:space="preserve"> this section, the court may:</w:t>
      </w:r>
    </w:p>
    <w:p>
      <w:pPr>
        <w:spacing w:before="0" w:after="0" w:line="408" w:lineRule="exact"/>
        <w:ind w:left="0" w:right="0" w:firstLine="576"/>
        <w:jc w:val="left"/>
      </w:pPr>
      <w:r>
        <w:rPr/>
        <w:t xml:space="preserve">(a) Grant any appropriate equitable or declaratory relief</w:t>
      </w:r>
      <w:r>
        <w:rPr>
          <w:u w:val="single"/>
        </w:rPr>
        <w:t xml:space="preserve">, including costs and reasonable attorneys' fees,</w:t>
      </w:r>
      <w:r>
        <w:rPr/>
        <w:t xml:space="preserve"> with respect to the violation of this chapter;</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w:t>
      </w:r>
      <w:r>
        <w:t>((</w:t>
      </w:r>
      <w:r>
        <w:rPr>
          <w:strike/>
        </w:rPr>
        <w:t xml:space="preserve">May,</w:t>
      </w:r>
      <w:r>
        <w:t>))</w:t>
      </w:r>
      <w:r>
        <w:rPr/>
        <w:t xml:space="preserve"> </w:t>
      </w:r>
      <w:r>
        <w:rPr>
          <w:u w:val="single"/>
        </w:rPr>
        <w:t xml:space="preserve">T</w:t>
      </w:r>
      <w:r>
        <w:rPr/>
        <w:t xml:space="preserve">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(3) Upon timely application, a person aggrieved by a violation of this chapter with respect to which the civil action is commenced may intervene in such an action and may obtain appropriate relief as the person could obtain in a civil action under RCW </w:t>
      </w:r>
      <w:r>
        <w:t>((</w:t>
      </w:r>
      <w:r>
        <w:rPr>
          <w:strike/>
        </w:rPr>
        <w:t xml:space="preserve">38.42.120</w:t>
      </w:r>
      <w:r>
        <w:t>))</w:t>
      </w:r>
      <w:r>
        <w:rPr/>
        <w:t xml:space="preserve"> </w:t>
      </w:r>
      <w:r>
        <w:rPr>
          <w:u w:val="single"/>
        </w:rPr>
        <w:t xml:space="preserve">38.42.130</w:t>
      </w:r>
      <w:r>
        <w:rPr/>
        <w:t xml:space="preserve"> with respect to that violation, along with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service member may, upon written notice, including electronic mail, terminate or suspend a contract described in subsection (2) of this section at any time after the date the service member receives military service orders:</w:t>
      </w:r>
    </w:p>
    <w:p>
      <w:pPr>
        <w:spacing w:before="0" w:after="0" w:line="408" w:lineRule="exact"/>
        <w:ind w:left="0" w:right="0" w:firstLine="576"/>
        <w:jc w:val="left"/>
      </w:pPr>
      <w:r>
        <w:rPr/>
        <w:t xml:space="preserve">(a) For a permanent change of station; or</w:t>
      </w:r>
    </w:p>
    <w:p>
      <w:pPr>
        <w:spacing w:before="0" w:after="0" w:line="408" w:lineRule="exact"/>
        <w:ind w:left="0" w:right="0" w:firstLine="576"/>
        <w:jc w:val="left"/>
      </w:pPr>
      <w:r>
        <w:rPr/>
        <w:t xml:space="preserve">(b) To deploy with a military unit, or as an individual in support of a military operation, for a period of not less than thirty days.</w:t>
      </w:r>
    </w:p>
    <w:p>
      <w:pPr>
        <w:spacing w:before="0" w:after="0" w:line="408" w:lineRule="exact"/>
        <w:ind w:left="0" w:right="0" w:firstLine="576"/>
        <w:jc w:val="left"/>
      </w:pPr>
      <w:r>
        <w:rPr/>
        <w:t xml:space="preserve">(2) For the purposes of this section, a contract includes the provision of any of the following:</w:t>
      </w:r>
    </w:p>
    <w:p>
      <w:pPr>
        <w:spacing w:before="0" w:after="0" w:line="408" w:lineRule="exact"/>
        <w:ind w:left="0" w:right="0" w:firstLine="576"/>
        <w:jc w:val="left"/>
      </w:pPr>
      <w:r>
        <w:rPr/>
        <w:t xml:space="preserve">(a) Telecommunication services from a telecommunications company, as defined in RCW 80.04.010, except as provided in subsection (7)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(3) The service member must provide written proof to the service provider of the official orders showing that the service member has been called into military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(4) A termination or suspension of services under this section is effective on the day written notice is given under subsection (2) of this section. The termination or suspension of services does not eliminate or alter any contractual obligation to pay for services rendered before the effective date of the written notice, unless otherwise provided for by law.</w:t>
      </w:r>
    </w:p>
    <w:p>
      <w:pPr>
        <w:spacing w:before="0" w:after="0" w:line="408" w:lineRule="exact"/>
        <w:ind w:left="0" w:right="0" w:firstLine="576"/>
        <w:jc w:val="left"/>
      </w:pPr>
      <w:r>
        <w:rPr/>
        <w:t xml:space="preserve">(5)(a) A service member who terminates or suspends the provision of services under this section may upon giving written notice, including electronic mail, to the provider within ninety days after termination of the service member's military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military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new consumer at the lowest discounted or promotional rate within the previous twelve-month period immediately before termination of the service member's military service, if the service member was in military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(6)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(7) A service member may terminate a contract for any service provided by a commercial mobile radio services provider in accordance with 50 U.S.C. Sec. 3956.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3bbebeabf6748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fc20cca38475f" /><Relationship Type="http://schemas.openxmlformats.org/officeDocument/2006/relationships/footer" Target="/word/footer.xml" Id="Rf3bbebeabf674822" /></Relationships>
</file>