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d60735ad146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1153</w:t>
      </w:r>
    </w:p>
    <w:p>
      <w:pPr>
        <w:jc w:val="center"/>
        <w:spacing w:before="480" w:after="0" w:line="240"/>
      </w:pPr>
      <w:r>
        <w:t xml:space="preserve">Chapter </w:t>
      </w:r>
      <w:r>
        <w:rPr/>
        <w:t xml:space="preserve">266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CRIMES AGAINST VULNERABLE PERSONS--VARIOUS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92</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11:08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1153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Pellicciotti, Hayes, Orwall, Griffey, Chapman, Holy, Kilduff, Stanford, Fey, Haler, Doglio, and Frame; by request of Attorney General)</w:t>
      </w:r>
    </w:p>
    <w:p/>
    <w:p>
      <w:r>
        <w:rPr>
          <w:t xml:space="preserve">READ FIRST TIME 01/24/17.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crimes against vulnerable persons; amending RCW 9A.42.020, 9A.42.030, 9A.42.035, 9A.56.010, 9A.04.080, 9A.56.030, 9A.56.040, and 74.34.020; reenacting and amending RCW 9.94A.411 and 9.94A.515; adding a new section to chapter 9A.56 RCW; and adding a new section to chapter 74.34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seniors and people with disabilities face a growing threat of financial exploitation and physical neglect. The legislature intends with this act to hold accountable those perpetrators who commit theft and physical neglect of seniors and people with disabilities by increasing penalties, reducing barriers to prosecution, and expanding the scope of protection for vulnerable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w:t>
      </w:r>
      <w:r>
        <w:rPr>
          <w:u w:val="single"/>
        </w:rPr>
        <w:t xml:space="preserve">by withholding any of the basic necessities of life</w:t>
      </w:r>
      <w:r>
        <w:rPr/>
        <w:t xml:space="preserve">,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 9A.32.030)</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 The defendant must have known or should have known that the victim was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includes a person eighteen years of age or older who:</w:t>
      </w:r>
    </w:p>
    <w:p>
      <w:pPr>
        <w:spacing w:before="0" w:after="0" w:line="408" w:lineRule="exact"/>
        <w:ind w:left="0" w:right="0" w:firstLine="576"/>
        <w:jc w:val="left"/>
      </w:pPr>
      <w:r>
        <w:rPr>
          <w:u w:val="single"/>
        </w:rPr>
        <w:t xml:space="preserve">(a) Is functionally, mentally, or physically unable to care for himself or herself; or</w:t>
      </w:r>
    </w:p>
    <w:p>
      <w:pPr>
        <w:spacing w:before="0" w:after="0" w:line="408" w:lineRule="exact"/>
        <w:ind w:left="0" w:right="0" w:firstLine="576"/>
        <w:jc w:val="left"/>
      </w:pPr>
      <w:r>
        <w:rPr>
          <w:u w:val="single"/>
        </w:rPr>
        <w:t xml:space="preserve">(b) Is suffering from a cognitive impairment</w:t>
      </w:r>
      <w:r>
        <w:rPr>
          <w:u w:val="single"/>
        </w:rPr>
        <w:t xml:space="preserve"> other than voluntary intoxication;</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(22) "Vulnerable adult advocacy team" means a team of three or more persons who coordinate a multidisciplinary process, in compliance with this act and the protocol governed by section 13 of this act, for preventing, identifying, investigating, prosecuting, and providing services related to abuse, neglect, or financial exploitation of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Each county is encouraged to develop a written protocol for handling criminal cases involving vulnerable adults. The protocol shall:</w:t>
      </w:r>
    </w:p>
    <w:p>
      <w:pPr>
        <w:spacing w:before="0" w:after="0" w:line="408" w:lineRule="exact"/>
        <w:ind w:left="0" w:right="0" w:firstLine="576"/>
        <w:jc w:val="left"/>
      </w:pPr>
      <w:r>
        <w:rPr/>
        <w:t xml:space="preserve">(a) Address the coordination of vulnerable adult mistreatment investigations among the following groups as appropriate and when available: The prosecutor's office; law enforcement; adult protective services; vulnerable adult advocacy centers; local advocacy groups; community victim advocacy programs; professional guardians; medical examiners or coroners; financial analysts or forensic accountants; social workers with experience or training related to the mistreatment of vulnerable adults; medical personnel; the state long-term care ombuds or a regional long-term care ombuds specifically designated by the state long-term care ombuds; developmental disabilities ombuds; the attorney general's office; and any other local agency involved in the criminal investigation of vulnerable adult mistreatment;</w:t>
      </w:r>
    </w:p>
    <w:p>
      <w:pPr>
        <w:spacing w:before="0" w:after="0" w:line="408" w:lineRule="exact"/>
        <w:ind w:left="0" w:right="0" w:firstLine="576"/>
        <w:jc w:val="left"/>
      </w:pPr>
      <w:r>
        <w:rPr/>
        <w:t xml:space="preserve">(b) Be developed by the prosecuting attorney with the assistance of the agencies referenced in this subsection;</w:t>
      </w:r>
    </w:p>
    <w:p>
      <w:pPr>
        <w:spacing w:before="0" w:after="0" w:line="408" w:lineRule="exact"/>
        <w:ind w:left="0" w:right="0" w:firstLine="576"/>
        <w:jc w:val="left"/>
      </w:pPr>
      <w:r>
        <w:rPr/>
        <w:t xml:space="preserve">(c) Provide that participation as a member of the vulnerable adult advocacy team is voluntary;</w:t>
      </w:r>
    </w:p>
    <w:p>
      <w:pPr>
        <w:spacing w:before="0" w:after="0" w:line="408" w:lineRule="exact"/>
        <w:ind w:left="0" w:right="0" w:firstLine="576"/>
        <w:jc w:val="left"/>
      </w:pPr>
      <w:r>
        <w:rPr/>
        <w:t xml:space="preserve">(d) Include a brief statement provided by the state long-term care ombuds, without alteration, that describes the confidentiality laws and policies governing the state long-term care ombuds program, and includes citations to relevant federal and state laws;</w:t>
      </w:r>
    </w:p>
    <w:p>
      <w:pPr>
        <w:spacing w:before="0" w:after="0" w:line="408" w:lineRule="exact"/>
        <w:ind w:left="0" w:right="0" w:firstLine="576"/>
        <w:jc w:val="left"/>
      </w:pPr>
      <w:r>
        <w:rPr/>
        <w:t xml:space="preserve">(e) Require the development and use of a confidentiality agreement, in compliance with this section, that includes, but is not limited to, terms governing the type of information that must be shared, and the means by which it is shared; the existing confidentiality obligations of team members; and the circumstances under which team members may disclose information outside of the team;</w:t>
      </w:r>
    </w:p>
    <w:p>
      <w:pPr>
        <w:spacing w:before="0" w:after="0" w:line="408" w:lineRule="exact"/>
        <w:ind w:left="0" w:right="0" w:firstLine="576"/>
        <w:jc w:val="left"/>
      </w:pPr>
      <w:r>
        <w:rPr/>
        <w:t xml:space="preserve">(f) Require the vulnerable adult advocacy team to make a good faith effort to obtain the participation of the state long-term care ombuds prior to addressing any issue related to abuse, neglect, or financial exploitation of a vulnerable adult residing in a long-term care facility during the relevant time period.</w:t>
      </w:r>
    </w:p>
    <w:p>
      <w:pPr>
        <w:spacing w:before="0" w:after="0" w:line="408" w:lineRule="exact"/>
        <w:ind w:left="0" w:right="0" w:firstLine="576"/>
        <w:jc w:val="left"/>
      </w:pPr>
      <w:r>
        <w:rPr/>
        <w:t xml:space="preserve">(2) Members of a vulnerable adult advocacy team must disclose to each other confidential or sensitive information and records, if the team member disclosing the information or records reasonably believes the disclosure is relevant to the duties of the vulnerable adult advocacy team. The disclosure and receipt of confidential information between vulnerable adult advocacy team members shall be governed by the requirements of this section, and by the county protocol developed pursuant to this section.</w:t>
      </w:r>
    </w:p>
    <w:p>
      <w:pPr>
        <w:spacing w:before="0" w:after="0" w:line="408" w:lineRule="exact"/>
        <w:ind w:left="0" w:right="0" w:firstLine="576"/>
        <w:jc w:val="left"/>
      </w:pPr>
      <w:r>
        <w:rPr/>
        <w:t xml:space="preserve">(3) Prior to participation, each member of the vulnerable adult advocacy team must sign a confidentiality agreement that requires compliance with all governing federal and state confidentiality laws.</w:t>
      </w:r>
    </w:p>
    <w:p>
      <w:pPr>
        <w:spacing w:before="0" w:after="0" w:line="408" w:lineRule="exact"/>
        <w:ind w:left="0" w:right="0" w:firstLine="576"/>
        <w:jc w:val="left"/>
      </w:pPr>
      <w:r>
        <w:rPr/>
        <w:t xml:space="preserve">(4) The information or records obtained shall be maintained in a manner that ensures the maximum protection of privacy and confidentiality rights.</w:t>
      </w:r>
    </w:p>
    <w:p>
      <w:pPr>
        <w:spacing w:before="0" w:after="0" w:line="408" w:lineRule="exact"/>
        <w:ind w:left="0" w:right="0" w:firstLine="576"/>
        <w:jc w:val="left"/>
      </w:pPr>
      <w:r>
        <w:rPr/>
        <w:t xml:space="preserve">(5) Information and records communicated or provided to vulnerable adult advocacy team members, as well as information and records created in the course of an investigation, shall be deemed private and confidential and shall be protected from discovery and disclosure by all applicable statutory and common law protections. The disclosed information may not be further disclosed except by law or by court order.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6a9a9e5b821a4c3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dda0d1bb64929" /><Relationship Type="http://schemas.openxmlformats.org/officeDocument/2006/relationships/footer" Target="/word/footer.xml" Id="R6a9a9e5b821a4c33" /></Relationships>
</file>