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ca77c9bb84c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1445</w:t>
      </w:r>
    </w:p>
    <w:p>
      <w:pPr>
        <w:jc w:val="center"/>
        <w:spacing w:before="480" w:after="0" w:line="240"/>
      </w:pPr>
      <w:r>
        <w:t xml:space="preserve">Chapter </w:t>
      </w:r>
      <w:r>
        <w:rPr/>
        <w:t xml:space="preserve">236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DUAL LANGUAGE PROGRAMS--K-12 AND EARLY LEARNING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68</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9:26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Ortiz-Self, Stambaugh, Santos, Orwall, Harris, Caldier, Springer, Appleton, Lytton, Condotta, Fey, Pollet, Goodman, Slatter, Bergquist, Macri, Doglio,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28A.180 RCW; adding a new section to chapter 43.215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or paraeducators,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language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The legislature showed its commitment to equity in education by passing legislation creating a seal of biliteracy, requiring world language for high school graduation, easing the transitions of English learners, encouraging training for staff in cultural competence, monitoring the racial and ethnic data of teachers, and funding the creation of K-12 dual language programs.</w:t>
      </w:r>
    </w:p>
    <w:p>
      <w:pPr>
        <w:spacing w:before="0" w:after="0" w:line="408" w:lineRule="exact"/>
        <w:ind w:left="0" w:right="0" w:firstLine="576"/>
        <w:jc w:val="left"/>
      </w:pPr>
      <w:r>
        <w:rPr/>
        <w:t xml:space="preserve">(4) However, the legislature finds it is necessary to better serve non-English speaking students by addressing and closing the significant language and instructional gaps that hinder English learners from meeting the state's rigorous educational standards.</w:t>
      </w:r>
    </w:p>
    <w:p>
      <w:pPr>
        <w:spacing w:before="0" w:after="0" w:line="408" w:lineRule="exact"/>
        <w:ind w:left="0" w:right="0" w:firstLine="576"/>
        <w:jc w:val="left"/>
      </w:pPr>
      <w:r>
        <w:rPr/>
        <w:t xml:space="preserve">(5) Thus, the legislature intends to establish a comprehensive approach to support English learners by creating grant programs to: (a) Expand dual language programs for elementary and secondary students; and (b) recruit bilingual individuals to become educators who are able to provide instruction in, and support for, dual language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of this act.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of this act.</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of early learning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subject to the availability of amounts appropriated for this specific purpose and in compliance with RCW 43.01.036, the office of the superintendent of public instruction and the professional educator standards board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Describes how the K-12 education system has met the goals of each grant program and expanded their capacities to support dual language models of instruction because of this act, that is, how many more children were educated in dual language classrooms as a result of the grants in this act.</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94214281cb0040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055d4ada147d1" /><Relationship Type="http://schemas.openxmlformats.org/officeDocument/2006/relationships/footer" Target="/word/footer.xml" Id="R94214281cb00407e" /></Relationships>
</file>