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a9123940c43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1906</w:t>
      </w:r>
    </w:p>
    <w:p>
      <w:pPr>
        <w:jc w:val="center"/>
        <w:spacing w:before="480" w:after="0" w:line="240"/>
      </w:pPr>
      <w:r>
        <w:t xml:space="preserve">Chapter </w:t>
      </w:r>
      <w:r>
        <w:rPr/>
        <w:t xml:space="preserve">150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FARM INTERNSHIP PILOT PROJECT--QUALIFYING COUNTIES--EXPIRATION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11:04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Orcutt, Blake, McDonald, Pike, and Doglio</w:t>
      </w:r>
    </w:p>
    <w:p/>
    <w:p>
      <w:r>
        <w:rPr>
          <w:t xml:space="preserve">Read first time 02/02/17.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counties qualifying for the farm internship program, including certain southwest Washington counties; amending RCW 49.12.470; amending 2014 c 131 s 5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2014 c 131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w:t>
      </w:r>
      <w:r>
        <w:t>((</w:t>
      </w:r>
      <w:r>
        <w:rPr>
          <w:strike/>
        </w:rPr>
        <w:t xml:space="preserve">and</w:t>
      </w:r>
      <w:r>
        <w:t>))</w:t>
      </w:r>
      <w:r>
        <w:rPr/>
        <w:t xml:space="preserve"> Thurston</w:t>
      </w:r>
      <w:r>
        <w:rPr>
          <w:u w:val="single"/>
        </w:rPr>
        <w:t xml:space="preserve">, Walla Walla, Clark, Cowlitz, and Lewis</w:t>
      </w:r>
      <w:r>
        <w:rPr/>
        <w:t xml:space="preserve">.</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u w:val="single"/>
        </w:rPr>
        <w:t xml:space="preserve">(13)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5</w:t>
      </w:r>
      <w:r>
        <w:rPr/>
        <w:t xml:space="preserve"> (uncodified) is amended to read as follows:</w:t>
      </w:r>
    </w:p>
    <w:p>
      <w:pPr>
        <w:spacing w:before="0" w:after="0" w:line="408" w:lineRule="exact"/>
        <w:ind w:left="0" w:right="0" w:firstLine="576"/>
        <w:jc w:val="left"/>
      </w:pPr>
      <w:r>
        <w:rPr/>
        <w:t xml:space="preserve">This act expires December 31,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2 expires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62bed67a60c244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4ca75c5884de4" /><Relationship Type="http://schemas.openxmlformats.org/officeDocument/2006/relationships/footer" Target="/word/footer.xml" Id="R62bed67a60c244b1" /></Relationships>
</file>