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d917693524d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2101</w:t>
      </w:r>
    </w:p>
    <w:p>
      <w:pPr>
        <w:jc w:val="center"/>
        <w:spacing w:before="480" w:after="0" w:line="240"/>
      </w:pPr>
      <w:r>
        <w:t xml:space="preserve">Chapter </w:t>
      </w:r>
      <w:r>
        <w:rPr/>
        <w:t xml:space="preserve">88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SEXUAL ASSAULT NURSE EXAMINERS--AVAILABILITY</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1:45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2101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McCabe, Orwall, Griffey, Hayes, and McDonald)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crime victims advocacy shall develop best practices that local communities may use on a voluntary basis to create more access to sexual assault nurse examiners, including, but not limited to, partnerships to serve multiple facilities, mobile sexual assault nurse examiner teams, and multidisciplinary teams to serve sexual assault survivors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coalition of sexual assault programs;</w:t>
      </w:r>
    </w:p>
    <w:p>
      <w:pPr>
        <w:spacing w:before="0" w:after="0" w:line="408" w:lineRule="exact"/>
        <w:ind w:left="0" w:right="0" w:firstLine="576"/>
        <w:jc w:val="left"/>
      </w:pPr>
      <w:r>
        <w:rPr/>
        <w:t xml:space="preserve">(iv) The Harborview center for sexual assault and traumatic stress;</w:t>
      </w:r>
    </w:p>
    <w:p>
      <w:pPr>
        <w:spacing w:before="0" w:after="0" w:line="408" w:lineRule="exact"/>
        <w:ind w:left="0" w:right="0" w:firstLine="576"/>
        <w:jc w:val="left"/>
      </w:pPr>
      <w:r>
        <w:rPr/>
        <w:t xml:space="preserve">(v) The Washington state hospital association;</w:t>
      </w:r>
    </w:p>
    <w:p>
      <w:pPr>
        <w:spacing w:before="0" w:after="0" w:line="408" w:lineRule="exact"/>
        <w:ind w:left="0" w:right="0" w:firstLine="576"/>
        <w:jc w:val="left"/>
      </w:pPr>
      <w:r>
        <w:rPr/>
        <w:t xml:space="preserve">(vi) The Washington state association of counties;</w:t>
      </w:r>
    </w:p>
    <w:p>
      <w:pPr>
        <w:spacing w:before="0" w:after="0" w:line="408" w:lineRule="exact"/>
        <w:ind w:left="0" w:right="0" w:firstLine="576"/>
        <w:jc w:val="left"/>
      </w:pPr>
      <w:r>
        <w:rPr/>
        <w:t xml:space="preserve">(vii) The association of Washington cities; and</w:t>
      </w:r>
    </w:p>
    <w:p>
      <w:pPr>
        <w:spacing w:before="0" w:after="0" w:line="408" w:lineRule="exact"/>
        <w:ind w:left="0" w:right="0" w:firstLine="576"/>
        <w:jc w:val="left"/>
      </w:pPr>
      <w:r>
        <w:rPr/>
        <w:t xml:space="preserve">(viii)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2019, and publish them on its web site.</w:t>
      </w:r>
    </w:p>
    <w:p>
      <w:pPr>
        <w:spacing w:before="0" w:after="0" w:line="408" w:lineRule="exact"/>
        <w:ind w:left="0" w:right="0" w:firstLine="576"/>
        <w:jc w:val="left"/>
      </w:pPr>
      <w:r>
        <w:rPr/>
        <w:t xml:space="preserve">(2) The office of crime victims advocacy shall develop strategies to make sexual assault nurse examiner training available to nurses in all regions of the state without requiring the nurses to travel unreasonable distances or incur unreasonable expenses.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center for sexual assault and traumatic stress;</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w:t>
      </w:r>
    </w:p>
    <w:p>
      <w:pPr>
        <w:spacing w:before="0" w:after="0" w:line="408" w:lineRule="exact"/>
        <w:ind w:left="0" w:right="0" w:firstLine="576"/>
        <w:jc w:val="left"/>
      </w:pPr>
      <w:r>
        <w:rPr/>
        <w:t xml:space="preserve">(v) The Washington state hospital association; and</w:t>
      </w:r>
    </w:p>
    <w:p>
      <w:pPr>
        <w:spacing w:before="0" w:after="0" w:line="408" w:lineRule="exact"/>
        <w:ind w:left="0" w:right="0" w:firstLine="576"/>
        <w:jc w:val="left"/>
      </w:pPr>
      <w:r>
        <w:rPr/>
        <w:t xml:space="preserve">(vi)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January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3ce2d567069340b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34e6a3929845de" /><Relationship Type="http://schemas.openxmlformats.org/officeDocument/2006/relationships/footer" Target="/word/footer.xml" Id="R3ce2d567069340ba" /></Relationships>
</file>