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d0db4050f43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5449</w:t>
      </w:r>
    </w:p>
    <w:p>
      <w:pPr>
        <w:jc w:val="center"/>
        <w:spacing w:before="480" w:after="0" w:line="240"/>
      </w:pPr>
      <w:r>
        <w:t xml:space="preserve">Chapter </w:t>
      </w:r>
      <w:r>
        <w:rPr/>
        <w:t xml:space="preserve">90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SCHOOLS--DIGITAL CITIZENSHIP, MEDIA LITERACY, AND INTERNET SAFETY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76</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10:56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Liias, Zeiger, Billig, Hunt,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citizenship, media literacy, and internet safety in schools; amending RCW 28A.650.010 and 28A.650.045; adding a new section to chapter 28A.650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1993 c 336 s 702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u w:val="single"/>
        </w:rPr>
        <w:t xml:space="preserve">(2)</w:t>
      </w:r>
      <w:r>
        <w:rPr/>
        <w:t xml:space="preserve"> "Education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"Network" means integrated linking of education technology systems in schools for transmission of voice, data, video, or imaging, or a combination of these.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2016 c 59 s 2 are each amended to read as follows:</w:t>
      </w:r>
    </w:p>
    <w:p>
      <w:pPr>
        <w:spacing w:before="0" w:after="0" w:line="408" w:lineRule="exact"/>
        <w:ind w:left="0" w:right="0" w:firstLine="576"/>
        <w:jc w:val="left"/>
      </w:pPr>
      <w:r>
        <w:rPr/>
        <w:t xml:space="preserve">(1) </w:t>
      </w:r>
      <w:r>
        <w:t>((</w:t>
      </w:r>
      <w:r>
        <w:rPr>
          <w:strike/>
        </w:rPr>
        <w:t xml:space="preserve">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strike/>
        </w:rPr>
        <w:t xml:space="preserve">(2)</w:t>
      </w:r>
      <w:r>
        <w:t>))</w:t>
      </w:r>
      <w:r>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u w:val="single"/>
        </w:rPr>
        <w:t xml:space="preserve">(3)(a) By December 1, 2017, the Washington state school directors' association shall review and revise its model policy and procedures on electronic resources and internet safety to better support digital citizenship, media literacy, and internet safety in schools. The model policy and procedures must contain provisions requiring that media literacy resources consist of a balance of sources and perspectives.</w:t>
      </w:r>
    </w:p>
    <w:p>
      <w:pPr>
        <w:spacing w:before="0" w:after="0" w:line="408" w:lineRule="exact"/>
        <w:ind w:left="0" w:right="0" w:firstLine="576"/>
        <w:jc w:val="left"/>
      </w:pPr>
      <w:r>
        <w:rPr>
          <w:u w:val="single"/>
        </w:rPr>
        <w:t xml:space="preserve">(b) By December 1, 2017, the Washington state school directors' association shall develop a checklist of items for school districts to consider when updating their policy and procedures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office of the superintendent of public instruction shall survey teacher-librarians, principals, and technology directors to understand how they are currently integrating digital citizenship and media literacy education in their curriculum. The purpose of the survey is to determine ways in which teacher-librarians, principals, and technology directors can lead, teach, and support digital citizenship and media literacy across all grades and content areas.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for use in the 2017-18 school year. The web-based location must incorporate the information gathered by the survey in section 3 of this act.</w:t>
      </w:r>
    </w:p>
    <w:p>
      <w:pPr>
        <w:spacing w:before="0" w:after="0" w:line="408" w:lineRule="exact"/>
        <w:ind w:left="0" w:right="0" w:firstLine="576"/>
        <w:jc w:val="left"/>
      </w:pPr>
      <w:r>
        <w:rPr/>
        <w:t xml:space="preserve">(2) Thereafter, the office of the superintendent of public instruction shall continue to identify and develop additional open educational resources to support digital citizenship, media literacy, and internet safety in schools for the web-based location.</w:t>
      </w:r>
    </w:p>
    <w:p>
      <w:pPr>
        <w:spacing w:before="0" w:after="0" w:line="408" w:lineRule="exact"/>
        <w:ind w:left="0" w:right="0" w:firstLine="576"/>
        <w:jc w:val="left"/>
      </w:pPr>
      <w:r>
        <w:rPr/>
        <w:t xml:space="preserve">(3) Media literacy resources must consist of a balance of sources and perspectives.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37957ce7d32241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8120f6fad4843" /><Relationship Type="http://schemas.openxmlformats.org/officeDocument/2006/relationships/footer" Target="/word/footer.xml" Id="R37957ce7d32241b4" /></Relationships>
</file>